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4643" w14:textId="77777777" w:rsidR="0050436A" w:rsidRPr="00457F1A" w:rsidRDefault="00410A53" w:rsidP="00E37FFE">
      <w:pPr>
        <w:rPr>
          <w:b/>
          <w:color w:val="44546A" w:themeColor="text2"/>
          <w:sz w:val="24"/>
          <w:szCs w:val="24"/>
        </w:rPr>
      </w:pPr>
      <w:r>
        <w:rPr>
          <w:b/>
          <w:color w:val="44546A" w:themeColor="text2"/>
          <w:sz w:val="24"/>
          <w:szCs w:val="24"/>
        </w:rPr>
        <w:t>Appendix</w:t>
      </w:r>
      <w:r w:rsidR="00E37FFE">
        <w:rPr>
          <w:b/>
          <w:color w:val="44546A" w:themeColor="text2"/>
          <w:sz w:val="24"/>
          <w:szCs w:val="24"/>
        </w:rPr>
        <w:t xml:space="preserve">: </w:t>
      </w:r>
      <w:r>
        <w:rPr>
          <w:b/>
          <w:color w:val="44546A" w:themeColor="text2"/>
          <w:sz w:val="24"/>
          <w:szCs w:val="24"/>
        </w:rPr>
        <w:t>COVID-19 Additional Information for SEND Information Report</w:t>
      </w:r>
    </w:p>
    <w:p w14:paraId="27312F0A" w14:textId="41C3424C" w:rsidR="005E4EE2" w:rsidRPr="00457F1A" w:rsidRDefault="00DA535F" w:rsidP="00DA535F">
      <w:pPr>
        <w:ind w:left="720"/>
        <w:rPr>
          <w:b/>
          <w:color w:val="44546A" w:themeColor="text2"/>
        </w:rPr>
      </w:pPr>
      <w:r>
        <w:rPr>
          <w:b/>
          <w:color w:val="44546A" w:themeColor="text2"/>
        </w:rPr>
        <w:t xml:space="preserve">School Name: </w:t>
      </w:r>
      <w:r w:rsidR="004F6300">
        <w:rPr>
          <w:b/>
          <w:color w:val="44546A" w:themeColor="text2"/>
        </w:rPr>
        <w:t>Highgate Primary Academy</w:t>
      </w:r>
    </w:p>
    <w:p w14:paraId="348C0A45" w14:textId="7B89B031" w:rsidR="00AD2635" w:rsidRPr="00241016" w:rsidRDefault="002D5F8D" w:rsidP="00466F0F">
      <w:pPr>
        <w:ind w:left="720"/>
        <w:rPr>
          <w:b/>
          <w:color w:val="44546A" w:themeColor="text2"/>
        </w:rPr>
      </w:pPr>
      <w:r w:rsidRPr="00457F1A">
        <w:rPr>
          <w:b/>
          <w:color w:val="44546A" w:themeColor="text2"/>
        </w:rPr>
        <w:t xml:space="preserve">Date:  </w:t>
      </w:r>
      <w:r w:rsidR="004F6300">
        <w:rPr>
          <w:b/>
          <w:color w:val="44546A" w:themeColor="text2"/>
        </w:rPr>
        <w:t>March 2021</w:t>
      </w:r>
    </w:p>
    <w:p w14:paraId="7B72D766" w14:textId="7E96BA41" w:rsidR="002D5F8D" w:rsidRPr="0050436A" w:rsidRDefault="005E4EE2" w:rsidP="002D5F8D">
      <w:pPr>
        <w:rPr>
          <w:b/>
          <w:color w:val="44546A" w:themeColor="text2"/>
          <w:sz w:val="24"/>
          <w:szCs w:val="24"/>
        </w:rPr>
      </w:pPr>
      <w:r w:rsidRPr="0050436A">
        <w:rPr>
          <w:b/>
          <w:color w:val="44546A" w:themeColor="text2"/>
          <w:sz w:val="24"/>
          <w:szCs w:val="24"/>
        </w:rPr>
        <w:t>1. Context</w:t>
      </w:r>
      <w:r w:rsidR="00131B5D">
        <w:rPr>
          <w:b/>
          <w:color w:val="44546A" w:themeColor="text2"/>
          <w:sz w:val="24"/>
          <w:szCs w:val="24"/>
        </w:rPr>
        <w:t xml:space="preserve">, </w:t>
      </w:r>
      <w:r w:rsidR="0051443B">
        <w:rPr>
          <w:b/>
          <w:color w:val="44546A" w:themeColor="text2"/>
          <w:sz w:val="24"/>
          <w:szCs w:val="24"/>
        </w:rPr>
        <w:t>L</w:t>
      </w:r>
      <w:r w:rsidR="00131B5D">
        <w:rPr>
          <w:b/>
          <w:color w:val="44546A" w:themeColor="text2"/>
          <w:sz w:val="24"/>
          <w:szCs w:val="24"/>
        </w:rPr>
        <w:t xml:space="preserve">egislation and </w:t>
      </w:r>
      <w:r w:rsidR="0051443B">
        <w:rPr>
          <w:b/>
          <w:color w:val="44546A" w:themeColor="text2"/>
          <w:sz w:val="24"/>
          <w:szCs w:val="24"/>
        </w:rPr>
        <w:t>G</w:t>
      </w:r>
      <w:r w:rsidR="00131B5D">
        <w:rPr>
          <w:b/>
          <w:color w:val="44546A" w:themeColor="text2"/>
          <w:sz w:val="24"/>
          <w:szCs w:val="24"/>
        </w:rPr>
        <w:t>uidance</w:t>
      </w:r>
      <w:r w:rsidRPr="0050436A">
        <w:rPr>
          <w:b/>
          <w:color w:val="44546A" w:themeColor="text2"/>
          <w:sz w:val="24"/>
          <w:szCs w:val="24"/>
        </w:rPr>
        <w:t xml:space="preserve"> </w:t>
      </w:r>
    </w:p>
    <w:p w14:paraId="67079268" w14:textId="1A7BD72C" w:rsidR="00865BE5" w:rsidRDefault="00A0717C" w:rsidP="00DB297D">
      <w:hyperlink r:id="rId8" w:history="1">
        <w:r w:rsidR="00865BE5" w:rsidRPr="00347E02">
          <w:rPr>
            <w:rStyle w:val="Hyperlink"/>
          </w:rPr>
          <w:t>Guidance</w:t>
        </w:r>
      </w:hyperlink>
      <w:r w:rsidR="00865BE5">
        <w:t xml:space="preserve"> was </w:t>
      </w:r>
      <w:r w:rsidR="00865BE5" w:rsidRPr="00AB47A0">
        <w:t xml:space="preserve">released </w:t>
      </w:r>
      <w:r w:rsidR="00865BE5">
        <w:t>in February 2021, to</w:t>
      </w:r>
      <w:r w:rsidR="00865BE5" w:rsidRPr="00AB47A0">
        <w:t xml:space="preserve"> support schools with </w:t>
      </w:r>
      <w:r w:rsidR="00865BE5">
        <w:t xml:space="preserve">full </w:t>
      </w:r>
      <w:r w:rsidR="00865BE5" w:rsidRPr="00AB47A0">
        <w:t xml:space="preserve">opening from </w:t>
      </w:r>
      <w:r w:rsidR="00865BE5">
        <w:t>8 March 2021</w:t>
      </w:r>
      <w:r w:rsidR="00865BE5" w:rsidRPr="00AB47A0">
        <w:t xml:space="preserve">. </w:t>
      </w:r>
      <w:r w:rsidR="00FF4606">
        <w:t xml:space="preserve"> To support this, all schools are required to review and update their risk assessment (if necessary), make sure they have a system of controls to minimise risk of infection and to have a contingency plan in place for outbreaks or changes to restrictions.  It is also important for schools to communicate such relevant information to schools.</w:t>
      </w:r>
    </w:p>
    <w:p w14:paraId="444A3E9F" w14:textId="47B0DC7D" w:rsidR="00DB297D" w:rsidRDefault="00244BAA" w:rsidP="00B57B13">
      <w:pPr>
        <w:spacing w:after="0"/>
      </w:pPr>
      <w:r>
        <w:t xml:space="preserve">The </w:t>
      </w:r>
      <w:r w:rsidR="00241016">
        <w:t>SEND Information R</w:t>
      </w:r>
      <w:r w:rsidR="00DB297D">
        <w:t>eport is based on th</w:t>
      </w:r>
      <w:r w:rsidR="00241016">
        <w:t xml:space="preserve">e statutory Special Educational </w:t>
      </w:r>
      <w:r w:rsidR="00DB297D">
        <w:t>Needs and Disability (SEND) Code of Practice and the following legislation:</w:t>
      </w:r>
    </w:p>
    <w:p w14:paraId="6F51261C" w14:textId="77777777" w:rsidR="00241016" w:rsidRDefault="00DB297D" w:rsidP="00B57B13">
      <w:pPr>
        <w:pStyle w:val="ListParagraph"/>
        <w:numPr>
          <w:ilvl w:val="0"/>
          <w:numId w:val="9"/>
        </w:numPr>
        <w:spacing w:after="0"/>
      </w:pPr>
      <w:r>
        <w:t>Part 3 of the Children and Families Act 2014, which sets ou</w:t>
      </w:r>
      <w:r w:rsidR="00241016">
        <w:t xml:space="preserve">t schools’ responsibilities for </w:t>
      </w:r>
      <w:r>
        <w:t>pupils with SEN and disabilities</w:t>
      </w:r>
      <w:r w:rsidR="00241016">
        <w:t>; and</w:t>
      </w:r>
    </w:p>
    <w:p w14:paraId="173003E6" w14:textId="701EF1DC" w:rsidR="00DB297D" w:rsidRDefault="00DB297D" w:rsidP="00B57B13">
      <w:pPr>
        <w:pStyle w:val="ListParagraph"/>
        <w:numPr>
          <w:ilvl w:val="0"/>
          <w:numId w:val="9"/>
        </w:numPr>
        <w:spacing w:after="0"/>
      </w:pPr>
      <w:r>
        <w:t>The Special Educational Needs and Disability Regulations 2014, which set out schools’</w:t>
      </w:r>
      <w:r w:rsidR="00241016">
        <w:t xml:space="preserve"> </w:t>
      </w:r>
      <w:r>
        <w:t xml:space="preserve">responsibilities for education, </w:t>
      </w:r>
      <w:proofErr w:type="gramStart"/>
      <w:r>
        <w:t>health</w:t>
      </w:r>
      <w:proofErr w:type="gramEnd"/>
      <w:r>
        <w:t xml:space="preserve"> and care (EHC) plans, SEN co-ordinators (SENCOs) and</w:t>
      </w:r>
      <w:r w:rsidR="00241016">
        <w:t xml:space="preserve"> </w:t>
      </w:r>
      <w:r>
        <w:t>the SEN</w:t>
      </w:r>
      <w:r w:rsidR="00241016">
        <w:t>D Information R</w:t>
      </w:r>
      <w:r>
        <w:t>eport</w:t>
      </w:r>
    </w:p>
    <w:p w14:paraId="6E317A1B" w14:textId="77777777" w:rsidR="00B57B13" w:rsidRDefault="00B57B13" w:rsidP="00B57B13">
      <w:pPr>
        <w:pStyle w:val="ListParagraph"/>
        <w:spacing w:after="0"/>
      </w:pPr>
    </w:p>
    <w:p w14:paraId="0E0CDCB3" w14:textId="77777777" w:rsidR="001E640F" w:rsidRDefault="001E640F" w:rsidP="00B57B13">
      <w:pPr>
        <w:spacing w:after="0"/>
      </w:pPr>
      <w:r>
        <w:t>In 2020, the Coronavirus Act Modification of Section 42 of the Children and Families Act 2014 (England) Notice 2020 provided the following modification in relation to the duty to secure educational and health care provision in accordance with the requirements of the Education, Health and Care Plan:</w:t>
      </w:r>
    </w:p>
    <w:p w14:paraId="0F9AA542" w14:textId="1E37EACA" w:rsidR="00347E02" w:rsidRDefault="001E640F" w:rsidP="00347E02">
      <w:pPr>
        <w:pStyle w:val="ListParagraph"/>
        <w:numPr>
          <w:ilvl w:val="0"/>
          <w:numId w:val="29"/>
        </w:numPr>
        <w:spacing w:after="0"/>
      </w:pPr>
      <w:r>
        <w:t xml:space="preserve">The absolute duty to make the provision in an EHC plan (section 42 of the Children and Families Act 2014) can be temporarily amended to a ‘reasonable endeavours’ duty.  This means that during the specified period the Local Authority (LA) needs to do whatever it reasonably can to put provision in place, but if they cannot do so they would not necessarily be breaching the law. </w:t>
      </w:r>
    </w:p>
    <w:p w14:paraId="00045AA0" w14:textId="77777777" w:rsidR="001E640F" w:rsidRDefault="001E640F" w:rsidP="001E640F">
      <w:r>
        <w:t xml:space="preserve">This modification was in place from 1 May to 25 September 2020 inclusive, and adjusted the statutory timescales for the EHC needs assessments and plans.  Following this date range, the modifications ceased and </w:t>
      </w:r>
      <w:r w:rsidRPr="001E640F">
        <w:rPr>
          <w:b/>
        </w:rPr>
        <w:t>there are currently no modifications in place.</w:t>
      </w:r>
    </w:p>
    <w:p w14:paraId="4740614D" w14:textId="52048D7B" w:rsidR="002D5F8D" w:rsidRDefault="00410A53" w:rsidP="002D5F8D">
      <w:r>
        <w:t xml:space="preserve">This appendix of </w:t>
      </w:r>
      <w:r w:rsidR="00FF3A67">
        <w:t xml:space="preserve">the school’s </w:t>
      </w:r>
      <w:r>
        <w:t>SEN Information Report</w:t>
      </w:r>
      <w:r w:rsidR="00AD2635">
        <w:t xml:space="preserve"> should be read alongside the school’s Annex 5 of the Safeguardin</w:t>
      </w:r>
      <w:r w:rsidR="00500DF2">
        <w:t>g and Child Protection Policy and the Behaviour Policy (and any relevant Annex).</w:t>
      </w:r>
      <w:r w:rsidR="00FF499D">
        <w:t xml:space="preserve"> </w:t>
      </w:r>
      <w:r w:rsidR="00AD2635">
        <w:t>This appendix</w:t>
      </w:r>
      <w:r w:rsidR="002D5F8D">
        <w:t xml:space="preserve"> contains </w:t>
      </w:r>
      <w:r>
        <w:t xml:space="preserve">further </w:t>
      </w:r>
      <w:r w:rsidR="002D5F8D">
        <w:t>detail</w:t>
      </w:r>
      <w:r>
        <w:t>s of our</w:t>
      </w:r>
      <w:r w:rsidR="002D5F8D">
        <w:t xml:space="preserve"> arrangements</w:t>
      </w:r>
      <w:r w:rsidR="00D17AE5">
        <w:t xml:space="preserve"> </w:t>
      </w:r>
      <w:r>
        <w:t xml:space="preserve">for pupils with </w:t>
      </w:r>
      <w:r w:rsidR="00937E35">
        <w:t>Special Education Needs and/or D</w:t>
      </w:r>
      <w:r>
        <w:t xml:space="preserve">isabilities </w:t>
      </w:r>
      <w:r w:rsidR="00D17AE5">
        <w:t xml:space="preserve">in line with revised procedures from the </w:t>
      </w:r>
      <w:r>
        <w:t>government</w:t>
      </w:r>
      <w:r w:rsidR="00D17AE5">
        <w:t>,</w:t>
      </w:r>
      <w:r w:rsidR="002D5F8D">
        <w:t xml:space="preserve"> in the following areas: </w:t>
      </w:r>
    </w:p>
    <w:p w14:paraId="0BE1938E" w14:textId="77777777" w:rsidR="002D5F8D" w:rsidRDefault="00E37FFE" w:rsidP="002D5F8D">
      <w:pPr>
        <w:pStyle w:val="ListParagraph"/>
        <w:numPr>
          <w:ilvl w:val="0"/>
          <w:numId w:val="1"/>
        </w:numPr>
      </w:pPr>
      <w:r>
        <w:t xml:space="preserve">Context, legislation, </w:t>
      </w:r>
      <w:proofErr w:type="gramStart"/>
      <w:r>
        <w:t>guidance</w:t>
      </w:r>
      <w:proofErr w:type="gramEnd"/>
      <w:r>
        <w:t xml:space="preserve"> and key contacts</w:t>
      </w:r>
    </w:p>
    <w:p w14:paraId="67E6541F" w14:textId="1B41FD7B" w:rsidR="002D5F8D" w:rsidRDefault="0003244D" w:rsidP="002D5F8D">
      <w:pPr>
        <w:pStyle w:val="ListParagraph"/>
        <w:numPr>
          <w:ilvl w:val="0"/>
          <w:numId w:val="1"/>
        </w:numPr>
      </w:pPr>
      <w:r>
        <w:t xml:space="preserve">Vulnerable </w:t>
      </w:r>
      <w:r w:rsidR="00E73CF7">
        <w:t>children</w:t>
      </w:r>
      <w:r w:rsidR="002D5F8D">
        <w:t xml:space="preserve"> </w:t>
      </w:r>
    </w:p>
    <w:p w14:paraId="0A36298B" w14:textId="2CF9EAD1" w:rsidR="00E37FFE" w:rsidRPr="00E37FFE" w:rsidRDefault="00E37FFE" w:rsidP="00E37FFE">
      <w:pPr>
        <w:pStyle w:val="ListParagraph"/>
        <w:numPr>
          <w:ilvl w:val="0"/>
          <w:numId w:val="1"/>
        </w:numPr>
      </w:pPr>
      <w:r w:rsidRPr="00E37FFE">
        <w:t xml:space="preserve">Risk assessments of </w:t>
      </w:r>
      <w:r w:rsidR="00D253A8">
        <w:t>pupils with SEND</w:t>
      </w:r>
    </w:p>
    <w:p w14:paraId="5AE46BC6" w14:textId="58DED198" w:rsidR="002D5F8D" w:rsidRPr="00E37FFE" w:rsidRDefault="0003244D" w:rsidP="00E37FFE">
      <w:pPr>
        <w:pStyle w:val="ListParagraph"/>
        <w:numPr>
          <w:ilvl w:val="0"/>
          <w:numId w:val="1"/>
        </w:numPr>
      </w:pPr>
      <w:r>
        <w:t>Supporting children and young people’s</w:t>
      </w:r>
      <w:r w:rsidR="00E37FFE" w:rsidRPr="00E37FFE">
        <w:t xml:space="preserve"> mental health</w:t>
      </w:r>
    </w:p>
    <w:p w14:paraId="08076034" w14:textId="7696DD51" w:rsidR="00925EF2" w:rsidRDefault="00925EF2" w:rsidP="00925EF2">
      <w:pPr>
        <w:pStyle w:val="ListParagraph"/>
        <w:numPr>
          <w:ilvl w:val="0"/>
          <w:numId w:val="1"/>
        </w:numPr>
      </w:pPr>
      <w:r w:rsidRPr="00925EF2">
        <w:t xml:space="preserve">Supporting vulnerable </w:t>
      </w:r>
      <w:r w:rsidR="0003244D">
        <w:t>pupils</w:t>
      </w:r>
      <w:r w:rsidRPr="00925EF2">
        <w:t xml:space="preserve"> in school and/or at home </w:t>
      </w:r>
    </w:p>
    <w:p w14:paraId="4F7A2E6E" w14:textId="77777777" w:rsidR="000A6784" w:rsidRDefault="000A6784" w:rsidP="000A6784">
      <w:pPr>
        <w:pStyle w:val="ListParagraph"/>
        <w:numPr>
          <w:ilvl w:val="0"/>
          <w:numId w:val="1"/>
        </w:numPr>
      </w:pPr>
      <w:r w:rsidRPr="00A03442">
        <w:t xml:space="preserve">Statutory assessments, annual </w:t>
      </w:r>
      <w:proofErr w:type="gramStart"/>
      <w:r w:rsidRPr="00A03442">
        <w:t>reviews</w:t>
      </w:r>
      <w:proofErr w:type="gramEnd"/>
      <w:r w:rsidRPr="00A03442">
        <w:t xml:space="preserve"> and reviews for pupils at SEN Support</w:t>
      </w:r>
    </w:p>
    <w:p w14:paraId="463BFF14" w14:textId="7F50DDA3" w:rsidR="004E2BEC" w:rsidRDefault="00C05860" w:rsidP="004E2BEC">
      <w:pPr>
        <w:pStyle w:val="ListParagraph"/>
        <w:numPr>
          <w:ilvl w:val="0"/>
          <w:numId w:val="1"/>
        </w:numPr>
      </w:pPr>
      <w:r>
        <w:t xml:space="preserve">Dedicated School </w:t>
      </w:r>
      <w:r w:rsidR="004E2BEC">
        <w:t>Transport</w:t>
      </w:r>
      <w:r w:rsidR="00E73CF7">
        <w:t xml:space="preserve"> for pupils</w:t>
      </w:r>
      <w:r w:rsidR="0087376C">
        <w:t xml:space="preserve"> with existing arrangements</w:t>
      </w:r>
    </w:p>
    <w:p w14:paraId="06B58506" w14:textId="77777777" w:rsidR="00C21841" w:rsidRDefault="00C21841" w:rsidP="004E2BEC">
      <w:pPr>
        <w:pStyle w:val="ListParagraph"/>
        <w:numPr>
          <w:ilvl w:val="0"/>
          <w:numId w:val="1"/>
        </w:numPr>
      </w:pPr>
      <w:r>
        <w:t>Transition</w:t>
      </w:r>
    </w:p>
    <w:p w14:paraId="7CBCFA16" w14:textId="2EB13194" w:rsidR="006202B6" w:rsidRDefault="000675FC" w:rsidP="00925EF2">
      <w:pPr>
        <w:pStyle w:val="ListParagraph"/>
        <w:numPr>
          <w:ilvl w:val="0"/>
          <w:numId w:val="1"/>
        </w:numPr>
      </w:pPr>
      <w:r>
        <w:t>Support from Astrea Academy Trust</w:t>
      </w:r>
    </w:p>
    <w:p w14:paraId="5EC7CCF6" w14:textId="5F7986CC" w:rsidR="00030648" w:rsidRDefault="0003347F" w:rsidP="00925EF2">
      <w:pPr>
        <w:pStyle w:val="ListParagraph"/>
        <w:numPr>
          <w:ilvl w:val="0"/>
          <w:numId w:val="1"/>
        </w:numPr>
      </w:pPr>
      <w:r>
        <w:t>Annex: Suggested SEND</w:t>
      </w:r>
      <w:r w:rsidR="00030648">
        <w:t xml:space="preserve"> Risk Assessment Template</w:t>
      </w:r>
    </w:p>
    <w:p w14:paraId="1B7A14AE" w14:textId="1EA025C6" w:rsidR="009E071C" w:rsidRPr="009E071C" w:rsidRDefault="002D5F8D" w:rsidP="000017ED">
      <w:pPr>
        <w:rPr>
          <w:b/>
          <w:color w:val="44546A" w:themeColor="text2"/>
          <w:sz w:val="24"/>
          <w:szCs w:val="24"/>
        </w:rPr>
      </w:pPr>
      <w:r w:rsidRPr="000017ED">
        <w:rPr>
          <w:b/>
          <w:color w:val="44546A" w:themeColor="text2"/>
          <w:sz w:val="24"/>
          <w:szCs w:val="24"/>
        </w:rPr>
        <w:lastRenderedPageBreak/>
        <w:t xml:space="preserve">Key </w:t>
      </w:r>
      <w:r w:rsidR="0051443B">
        <w:rPr>
          <w:b/>
          <w:color w:val="44546A" w:themeColor="text2"/>
          <w:sz w:val="24"/>
          <w:szCs w:val="24"/>
        </w:rPr>
        <w:t>C</w:t>
      </w:r>
      <w:r w:rsidRPr="000017ED">
        <w:rPr>
          <w:b/>
          <w:color w:val="44546A" w:themeColor="text2"/>
          <w:sz w:val="24"/>
          <w:szCs w:val="24"/>
        </w:rPr>
        <w:t xml:space="preserve">ontacts </w:t>
      </w:r>
    </w:p>
    <w:tbl>
      <w:tblPr>
        <w:tblStyle w:val="TableGrid"/>
        <w:tblW w:w="0" w:type="auto"/>
        <w:tblLook w:val="04A0" w:firstRow="1" w:lastRow="0" w:firstColumn="1" w:lastColumn="0" w:noHBand="0" w:noVBand="1"/>
      </w:tblPr>
      <w:tblGrid>
        <w:gridCol w:w="1867"/>
        <w:gridCol w:w="1655"/>
        <w:gridCol w:w="1483"/>
        <w:gridCol w:w="4011"/>
      </w:tblGrid>
      <w:tr w:rsidR="005E4EE2" w14:paraId="16674558" w14:textId="77777777" w:rsidTr="005767D3">
        <w:tc>
          <w:tcPr>
            <w:tcW w:w="1867" w:type="dxa"/>
            <w:shd w:val="clear" w:color="auto" w:fill="D0CECE" w:themeFill="background2" w:themeFillShade="E6"/>
          </w:tcPr>
          <w:p w14:paraId="4D119ABA" w14:textId="77777777" w:rsidR="005E4EE2" w:rsidRDefault="005E4EE2" w:rsidP="002D5F8D">
            <w:r>
              <w:t>Role</w:t>
            </w:r>
          </w:p>
        </w:tc>
        <w:tc>
          <w:tcPr>
            <w:tcW w:w="1655" w:type="dxa"/>
            <w:shd w:val="clear" w:color="auto" w:fill="D0CECE" w:themeFill="background2" w:themeFillShade="E6"/>
          </w:tcPr>
          <w:p w14:paraId="3769A7BD" w14:textId="77777777" w:rsidR="005E4EE2" w:rsidRDefault="005E4EE2" w:rsidP="002D5F8D">
            <w:r>
              <w:t>Name</w:t>
            </w:r>
          </w:p>
        </w:tc>
        <w:tc>
          <w:tcPr>
            <w:tcW w:w="1483" w:type="dxa"/>
            <w:shd w:val="clear" w:color="auto" w:fill="D0CECE" w:themeFill="background2" w:themeFillShade="E6"/>
          </w:tcPr>
          <w:p w14:paraId="6B54D327" w14:textId="77777777" w:rsidR="005E4EE2" w:rsidRDefault="005E4EE2" w:rsidP="002D5F8D">
            <w:r>
              <w:t>Contact number</w:t>
            </w:r>
          </w:p>
        </w:tc>
        <w:tc>
          <w:tcPr>
            <w:tcW w:w="4011" w:type="dxa"/>
            <w:shd w:val="clear" w:color="auto" w:fill="D0CECE" w:themeFill="background2" w:themeFillShade="E6"/>
          </w:tcPr>
          <w:p w14:paraId="303562AD" w14:textId="77777777" w:rsidR="005E4EE2" w:rsidRDefault="005E4EE2" w:rsidP="005E4EE2">
            <w:r>
              <w:t xml:space="preserve">Email </w:t>
            </w:r>
          </w:p>
          <w:p w14:paraId="0B1742B8" w14:textId="77777777" w:rsidR="005E4EE2" w:rsidRDefault="005E4EE2" w:rsidP="002D5F8D"/>
        </w:tc>
      </w:tr>
      <w:tr w:rsidR="00DB297D" w14:paraId="6AAE3BA6" w14:textId="77777777" w:rsidTr="005767D3">
        <w:tc>
          <w:tcPr>
            <w:tcW w:w="1867" w:type="dxa"/>
          </w:tcPr>
          <w:p w14:paraId="12DBF2CD" w14:textId="77777777" w:rsidR="00DB297D" w:rsidRDefault="00DB297D" w:rsidP="002D5F8D">
            <w:r>
              <w:t>SENCO</w:t>
            </w:r>
          </w:p>
        </w:tc>
        <w:tc>
          <w:tcPr>
            <w:tcW w:w="1655" w:type="dxa"/>
          </w:tcPr>
          <w:p w14:paraId="1AFE4DEF" w14:textId="562FFA8B" w:rsidR="00DB297D" w:rsidRDefault="004F6300" w:rsidP="002D5F8D">
            <w:r>
              <w:t>Sarah Sankey</w:t>
            </w:r>
          </w:p>
        </w:tc>
        <w:tc>
          <w:tcPr>
            <w:tcW w:w="1483" w:type="dxa"/>
            <w:vMerge w:val="restart"/>
          </w:tcPr>
          <w:p w14:paraId="29008ACA" w14:textId="1B051814" w:rsidR="00DB297D" w:rsidRPr="00DB297D" w:rsidRDefault="004F6300" w:rsidP="002D5F8D">
            <w:r>
              <w:t>01709892160</w:t>
            </w:r>
          </w:p>
        </w:tc>
        <w:tc>
          <w:tcPr>
            <w:tcW w:w="4011" w:type="dxa"/>
          </w:tcPr>
          <w:p w14:paraId="14D92D5E" w14:textId="702AAFA5" w:rsidR="00DB297D" w:rsidRDefault="004F6300" w:rsidP="002D5F8D">
            <w:hyperlink r:id="rId9" w:history="1">
              <w:r w:rsidRPr="00824951">
                <w:rPr>
                  <w:rStyle w:val="Hyperlink"/>
                </w:rPr>
                <w:t>Sarah.sankey@astreahighgate.org</w:t>
              </w:r>
            </w:hyperlink>
          </w:p>
        </w:tc>
      </w:tr>
      <w:tr w:rsidR="00DB297D" w14:paraId="20308DA0" w14:textId="77777777" w:rsidTr="005767D3">
        <w:tc>
          <w:tcPr>
            <w:tcW w:w="1867" w:type="dxa"/>
          </w:tcPr>
          <w:p w14:paraId="39333A9A" w14:textId="77777777" w:rsidR="00DB297D" w:rsidRDefault="00DB297D" w:rsidP="002D5F8D">
            <w:r>
              <w:t>Principal</w:t>
            </w:r>
          </w:p>
        </w:tc>
        <w:tc>
          <w:tcPr>
            <w:tcW w:w="1655" w:type="dxa"/>
          </w:tcPr>
          <w:p w14:paraId="7D5C03FA" w14:textId="6CA60FEF" w:rsidR="00DB297D" w:rsidRDefault="004F6300" w:rsidP="002D5F8D">
            <w:r>
              <w:t>Joanne Temperton</w:t>
            </w:r>
          </w:p>
        </w:tc>
        <w:tc>
          <w:tcPr>
            <w:tcW w:w="1483" w:type="dxa"/>
            <w:vMerge/>
          </w:tcPr>
          <w:p w14:paraId="4E118C73" w14:textId="77777777" w:rsidR="00DB297D" w:rsidRPr="00DB297D" w:rsidRDefault="00DB297D" w:rsidP="002D5F8D">
            <w:pPr>
              <w:rPr>
                <w:sz w:val="16"/>
                <w:szCs w:val="16"/>
              </w:rPr>
            </w:pPr>
          </w:p>
        </w:tc>
        <w:tc>
          <w:tcPr>
            <w:tcW w:w="4011" w:type="dxa"/>
          </w:tcPr>
          <w:p w14:paraId="1245F0B8" w14:textId="307D0031" w:rsidR="00DB297D" w:rsidRDefault="004F6300" w:rsidP="002D5F8D">
            <w:hyperlink r:id="rId10" w:history="1">
              <w:r w:rsidRPr="00824951">
                <w:rPr>
                  <w:rStyle w:val="Hyperlink"/>
                </w:rPr>
                <w:t>Joanne.temperton@astreahighgate.org</w:t>
              </w:r>
            </w:hyperlink>
            <w:r>
              <w:t xml:space="preserve"> </w:t>
            </w:r>
          </w:p>
        </w:tc>
      </w:tr>
      <w:tr w:rsidR="005767D3" w14:paraId="7687771E" w14:textId="77777777" w:rsidTr="005767D3">
        <w:tc>
          <w:tcPr>
            <w:tcW w:w="1867" w:type="dxa"/>
          </w:tcPr>
          <w:p w14:paraId="01B5F13F" w14:textId="77777777" w:rsidR="005767D3" w:rsidRDefault="005767D3" w:rsidP="002D5F8D">
            <w:r>
              <w:t>SEND Officer</w:t>
            </w:r>
          </w:p>
        </w:tc>
        <w:tc>
          <w:tcPr>
            <w:tcW w:w="1655" w:type="dxa"/>
          </w:tcPr>
          <w:p w14:paraId="3BF4A141" w14:textId="77777777" w:rsidR="005767D3" w:rsidRDefault="005767D3" w:rsidP="002D5F8D">
            <w:r>
              <w:t xml:space="preserve">Caroline </w:t>
            </w:r>
            <w:proofErr w:type="spellStart"/>
            <w:r>
              <w:t>Embery</w:t>
            </w:r>
            <w:proofErr w:type="spellEnd"/>
          </w:p>
        </w:tc>
        <w:tc>
          <w:tcPr>
            <w:tcW w:w="1483" w:type="dxa"/>
          </w:tcPr>
          <w:p w14:paraId="32DB0A44" w14:textId="77777777" w:rsidR="005767D3" w:rsidRDefault="005767D3" w:rsidP="002D5F8D">
            <w:r>
              <w:t>07387108846</w:t>
            </w:r>
          </w:p>
        </w:tc>
        <w:tc>
          <w:tcPr>
            <w:tcW w:w="4011" w:type="dxa"/>
          </w:tcPr>
          <w:p w14:paraId="1825A068" w14:textId="77777777" w:rsidR="005767D3" w:rsidRDefault="005767D3" w:rsidP="002D5F8D">
            <w:r>
              <w:t>caroline.embery@astreaacademytrust.org</w:t>
            </w:r>
          </w:p>
        </w:tc>
      </w:tr>
      <w:tr w:rsidR="00410A53" w14:paraId="2C138901" w14:textId="77777777" w:rsidTr="005767D3">
        <w:tc>
          <w:tcPr>
            <w:tcW w:w="1867" w:type="dxa"/>
          </w:tcPr>
          <w:p w14:paraId="45F1A2B9" w14:textId="77777777" w:rsidR="00410A53" w:rsidRDefault="00410A53" w:rsidP="002D5F8D">
            <w:r>
              <w:t>Specialist Leader of Behaviour and SEND</w:t>
            </w:r>
          </w:p>
        </w:tc>
        <w:tc>
          <w:tcPr>
            <w:tcW w:w="1655" w:type="dxa"/>
          </w:tcPr>
          <w:p w14:paraId="61FC718A" w14:textId="77777777" w:rsidR="00410A53" w:rsidRDefault="00410A53" w:rsidP="002D5F8D">
            <w:r>
              <w:t>Naomi Reed</w:t>
            </w:r>
          </w:p>
        </w:tc>
        <w:tc>
          <w:tcPr>
            <w:tcW w:w="1483" w:type="dxa"/>
          </w:tcPr>
          <w:p w14:paraId="2C9CAF46" w14:textId="77777777" w:rsidR="00410A53" w:rsidRDefault="005767D3" w:rsidP="002D5F8D">
            <w:r>
              <w:t>07552995410</w:t>
            </w:r>
          </w:p>
        </w:tc>
        <w:tc>
          <w:tcPr>
            <w:tcW w:w="4011" w:type="dxa"/>
          </w:tcPr>
          <w:p w14:paraId="11FCD8BD" w14:textId="77777777" w:rsidR="00410A53" w:rsidRDefault="00410A53" w:rsidP="002D5F8D">
            <w:r>
              <w:t>naomi.reed@astreaacademytrust.org</w:t>
            </w:r>
          </w:p>
        </w:tc>
      </w:tr>
      <w:tr w:rsidR="005E4EE2" w14:paraId="1CBF54D8" w14:textId="77777777" w:rsidTr="005767D3">
        <w:tc>
          <w:tcPr>
            <w:tcW w:w="1867" w:type="dxa"/>
          </w:tcPr>
          <w:p w14:paraId="047BA3A3" w14:textId="77777777" w:rsidR="005E4EE2" w:rsidRDefault="00410A53" w:rsidP="002D5F8D">
            <w:r>
              <w:t xml:space="preserve">National Leader of Inclusion </w:t>
            </w:r>
            <w:r w:rsidR="005E4EE2">
              <w:t xml:space="preserve">    </w:t>
            </w:r>
          </w:p>
        </w:tc>
        <w:tc>
          <w:tcPr>
            <w:tcW w:w="1655" w:type="dxa"/>
          </w:tcPr>
          <w:p w14:paraId="16416781" w14:textId="77777777" w:rsidR="005E4EE2" w:rsidRDefault="00410A53" w:rsidP="002D5F8D">
            <w:r>
              <w:t>Jenni Machin</w:t>
            </w:r>
          </w:p>
        </w:tc>
        <w:tc>
          <w:tcPr>
            <w:tcW w:w="1483" w:type="dxa"/>
          </w:tcPr>
          <w:p w14:paraId="662C77AF" w14:textId="77777777" w:rsidR="005E4EE2" w:rsidRDefault="00967C78" w:rsidP="002D5F8D">
            <w:r>
              <w:t>07900401418</w:t>
            </w:r>
          </w:p>
        </w:tc>
        <w:tc>
          <w:tcPr>
            <w:tcW w:w="4011" w:type="dxa"/>
          </w:tcPr>
          <w:p w14:paraId="52F85AC7" w14:textId="77777777" w:rsidR="005E4EE2" w:rsidRDefault="00410A53" w:rsidP="002D5F8D">
            <w:r>
              <w:t>jenni.machin</w:t>
            </w:r>
            <w:r w:rsidR="007F359C">
              <w:t>@astreaacademytrust.org</w:t>
            </w:r>
          </w:p>
        </w:tc>
      </w:tr>
      <w:tr w:rsidR="005E4EE2" w14:paraId="7D8113F8" w14:textId="77777777" w:rsidTr="005767D3">
        <w:tc>
          <w:tcPr>
            <w:tcW w:w="1867" w:type="dxa"/>
          </w:tcPr>
          <w:p w14:paraId="7326A00F" w14:textId="657E002E" w:rsidR="005E4EE2" w:rsidRDefault="005E4EE2" w:rsidP="004D2F5C">
            <w:r>
              <w:t xml:space="preserve">Director of </w:t>
            </w:r>
            <w:r w:rsidR="004D2F5C">
              <w:t>Inclusion</w:t>
            </w:r>
            <w:r>
              <w:t xml:space="preserve"> </w:t>
            </w:r>
          </w:p>
        </w:tc>
        <w:tc>
          <w:tcPr>
            <w:tcW w:w="1655" w:type="dxa"/>
          </w:tcPr>
          <w:p w14:paraId="2BD74521" w14:textId="77777777" w:rsidR="005E4EE2" w:rsidRDefault="007F359C" w:rsidP="002D5F8D">
            <w:r>
              <w:t xml:space="preserve">Nicola Crossley </w:t>
            </w:r>
          </w:p>
        </w:tc>
        <w:tc>
          <w:tcPr>
            <w:tcW w:w="1483" w:type="dxa"/>
          </w:tcPr>
          <w:p w14:paraId="7C83C931" w14:textId="77777777" w:rsidR="005E4EE2" w:rsidRDefault="005767D3" w:rsidP="002D5F8D">
            <w:r>
              <w:t>07393</w:t>
            </w:r>
            <w:r w:rsidR="007F359C">
              <w:t>237674</w:t>
            </w:r>
          </w:p>
        </w:tc>
        <w:tc>
          <w:tcPr>
            <w:tcW w:w="4011" w:type="dxa"/>
          </w:tcPr>
          <w:p w14:paraId="66CA6492" w14:textId="77777777" w:rsidR="005E4EE2" w:rsidRDefault="00410A53" w:rsidP="002D5F8D">
            <w:r>
              <w:t>n</w:t>
            </w:r>
            <w:r w:rsidR="007F359C">
              <w:t>icola.crossley@astreaacademytrust.org</w:t>
            </w:r>
          </w:p>
        </w:tc>
      </w:tr>
    </w:tbl>
    <w:p w14:paraId="6C198DB7" w14:textId="77777777" w:rsidR="009E071C" w:rsidRDefault="009E071C" w:rsidP="002D5F8D"/>
    <w:p w14:paraId="1A604941" w14:textId="64A6BFD0" w:rsidR="00D762F8" w:rsidRDefault="00925EF2" w:rsidP="002D5F8D">
      <w:r>
        <w:t xml:space="preserve">During </w:t>
      </w:r>
      <w:r w:rsidR="00A2098B">
        <w:t>the COVID-19 pandemic</w:t>
      </w:r>
      <w:r w:rsidR="00EB1C30">
        <w:t>, it may</w:t>
      </w:r>
      <w:r w:rsidR="00E37FFE">
        <w:t xml:space="preserve"> not always be possible to have the SENCO on site, however, the SENCO</w:t>
      </w:r>
      <w:r w:rsidR="006D3D1B">
        <w:t>, or a senior leader,</w:t>
      </w:r>
      <w:r w:rsidR="00E37FFE">
        <w:t xml:space="preserve"> will be available to be contacted via phone (contact school office to arrange a call) or </w:t>
      </w:r>
      <w:r w:rsidR="006D3D1B">
        <w:t>email.</w:t>
      </w:r>
      <w:r w:rsidR="00E37FFE">
        <w:t xml:space="preserve">  </w:t>
      </w:r>
    </w:p>
    <w:p w14:paraId="69B8FB9F" w14:textId="77777777" w:rsidR="00693984" w:rsidRPr="00D762F8" w:rsidRDefault="00693984" w:rsidP="002D5F8D"/>
    <w:p w14:paraId="58C5F2E0" w14:textId="34F69294" w:rsidR="009E071C" w:rsidRPr="00281570" w:rsidRDefault="0050436A" w:rsidP="002D5F8D">
      <w:pPr>
        <w:rPr>
          <w:b/>
          <w:color w:val="44546A" w:themeColor="text2"/>
          <w:sz w:val="24"/>
          <w:szCs w:val="24"/>
        </w:rPr>
      </w:pPr>
      <w:r>
        <w:rPr>
          <w:b/>
          <w:color w:val="44546A" w:themeColor="text2"/>
          <w:sz w:val="24"/>
          <w:szCs w:val="24"/>
        </w:rPr>
        <w:t xml:space="preserve">2. </w:t>
      </w:r>
      <w:r w:rsidR="002D5F8D" w:rsidRPr="0050436A">
        <w:rPr>
          <w:b/>
          <w:color w:val="44546A" w:themeColor="text2"/>
          <w:sz w:val="24"/>
          <w:szCs w:val="24"/>
        </w:rPr>
        <w:t xml:space="preserve">Vulnerable </w:t>
      </w:r>
      <w:r w:rsidR="00E73CF7">
        <w:rPr>
          <w:b/>
          <w:color w:val="44546A" w:themeColor="text2"/>
          <w:sz w:val="24"/>
          <w:szCs w:val="24"/>
        </w:rPr>
        <w:t>children</w:t>
      </w:r>
      <w:r w:rsidR="002D5F8D" w:rsidRPr="0050436A">
        <w:rPr>
          <w:b/>
          <w:color w:val="44546A" w:themeColor="text2"/>
          <w:sz w:val="24"/>
          <w:szCs w:val="24"/>
        </w:rPr>
        <w:t xml:space="preserve"> </w:t>
      </w:r>
    </w:p>
    <w:p w14:paraId="38414B5E" w14:textId="15DC67E8" w:rsidR="0025115C" w:rsidRDefault="009624B8" w:rsidP="00980578">
      <w:r>
        <w:t xml:space="preserve">From </w:t>
      </w:r>
      <w:r w:rsidR="00FF499D">
        <w:t>8 March 2021</w:t>
      </w:r>
      <w:r>
        <w:t>,</w:t>
      </w:r>
      <w:r w:rsidR="007B0200">
        <w:t xml:space="preserve"> pupils </w:t>
      </w:r>
      <w:r w:rsidR="006A4AA5">
        <w:t>are to</w:t>
      </w:r>
      <w:r w:rsidR="007B0200">
        <w:t xml:space="preserve"> return to school to minimise (as far as possible) the longer-term impact of the pandemic on </w:t>
      </w:r>
      <w:r w:rsidR="00E73CF7">
        <w:t xml:space="preserve">their </w:t>
      </w:r>
      <w:r w:rsidR="007B0200">
        <w:t xml:space="preserve">education, </w:t>
      </w:r>
      <w:proofErr w:type="gramStart"/>
      <w:r w:rsidR="007B0200">
        <w:t>wellbeing</w:t>
      </w:r>
      <w:proofErr w:type="gramEnd"/>
      <w:r w:rsidR="007B0200">
        <w:t xml:space="preserve"> and wider development.  </w:t>
      </w:r>
      <w:r w:rsidR="00423209">
        <w:t xml:space="preserve">However, </w:t>
      </w:r>
      <w:r w:rsidR="00FF3A67">
        <w:t>the school</w:t>
      </w:r>
      <w:r w:rsidR="00423209">
        <w:t xml:space="preserve"> notes that there may be a small minority of pupils that may still be unable </w:t>
      </w:r>
      <w:r w:rsidR="009E071C">
        <w:t>to attend. T</w:t>
      </w:r>
      <w:r w:rsidR="006A038E">
        <w:t>his could</w:t>
      </w:r>
      <w:r w:rsidR="00423209">
        <w:t xml:space="preserve"> be related to public healt</w:t>
      </w:r>
      <w:r w:rsidR="006D3D1B">
        <w:t>h or clinical advice</w:t>
      </w:r>
      <w:r w:rsidR="00F4768C">
        <w:t xml:space="preserve"> (for example, for pupils identified as extremely clinically vulnerable)</w:t>
      </w:r>
      <w:r w:rsidR="006D3D1B">
        <w:t xml:space="preserve">.  In these </w:t>
      </w:r>
      <w:r w:rsidR="00423209">
        <w:t xml:space="preserve">cases, access to remote education will be offered (see section 5) and </w:t>
      </w:r>
      <w:r w:rsidR="0025115C">
        <w:t xml:space="preserve">the pupil </w:t>
      </w:r>
      <w:r w:rsidR="00A2098B">
        <w:t xml:space="preserve">may be supported through the risk assessment process </w:t>
      </w:r>
      <w:r w:rsidR="0025115C">
        <w:t xml:space="preserve">if applicable </w:t>
      </w:r>
      <w:r w:rsidR="00A2098B">
        <w:t>(see section 3).</w:t>
      </w:r>
    </w:p>
    <w:p w14:paraId="164005E0" w14:textId="4618D8BE" w:rsidR="00C474B9" w:rsidRDefault="002D5F8D" w:rsidP="002D5F8D">
      <w:r>
        <w:t>Where parent</w:t>
      </w:r>
      <w:r w:rsidR="00984CFD">
        <w:t>s</w:t>
      </w:r>
      <w:r w:rsidR="00882FDA">
        <w:t>/ carer</w:t>
      </w:r>
      <w:r>
        <w:t>s are concerned about the risk of the child contracting COVID</w:t>
      </w:r>
      <w:r w:rsidR="00925EF2">
        <w:t>-</w:t>
      </w:r>
      <w:r>
        <w:t xml:space="preserve">19, </w:t>
      </w:r>
      <w:r w:rsidR="00636ED6">
        <w:t>the school</w:t>
      </w:r>
      <w:r>
        <w:t xml:space="preserve"> will talk through these </w:t>
      </w:r>
      <w:r w:rsidR="00BE3285">
        <w:t>anxieties with the parent/carer, providing reassurance of the measures in place to reduce the risk in school.  However, the expectation is that all pupils will be attending school unless a statutory reason applies.</w:t>
      </w:r>
    </w:p>
    <w:p w14:paraId="19DBA675" w14:textId="62B5025B" w:rsidR="002D5F8D" w:rsidRDefault="00BE3285" w:rsidP="002D5F8D">
      <w:r>
        <w:t>During a</w:t>
      </w:r>
      <w:r w:rsidR="006A4AA5">
        <w:t>ny</w:t>
      </w:r>
      <w:r>
        <w:t xml:space="preserve"> COVID-19 ‘lockdown’ (national, </w:t>
      </w:r>
      <w:proofErr w:type="gramStart"/>
      <w:r>
        <w:t>local</w:t>
      </w:r>
      <w:proofErr w:type="gramEnd"/>
      <w:r>
        <w:t xml:space="preserve"> or setting specific), following Public Health England advice, schools may close for some pupils but remain open only for vulnerable </w:t>
      </w:r>
      <w:r w:rsidR="00E73CF7">
        <w:t>pupils</w:t>
      </w:r>
      <w:r>
        <w:t xml:space="preserve"> and the children of critical workers, providing remote education for all other pupils.  </w:t>
      </w:r>
    </w:p>
    <w:p w14:paraId="763AD391" w14:textId="34AD181F" w:rsidR="009E071C" w:rsidRPr="009E071C" w:rsidRDefault="009E071C" w:rsidP="009E071C">
      <w:pPr>
        <w:spacing w:after="0"/>
      </w:pPr>
      <w:r w:rsidRPr="009E071C">
        <w:t>Vulnerable children and young people include those who:</w:t>
      </w:r>
    </w:p>
    <w:p w14:paraId="4EC33673" w14:textId="78840E52" w:rsidR="009E071C" w:rsidRPr="009E071C" w:rsidRDefault="009E071C" w:rsidP="009E071C">
      <w:pPr>
        <w:numPr>
          <w:ilvl w:val="0"/>
          <w:numId w:val="35"/>
        </w:numPr>
        <w:spacing w:after="0"/>
      </w:pPr>
      <w:r w:rsidRPr="009E071C">
        <w:t xml:space="preserve">are assessed as being in need under section 17 of the Children Act 1989, including children and young people who have </w:t>
      </w:r>
      <w:r w:rsidRPr="009E071C">
        <w:rPr>
          <w:b/>
        </w:rPr>
        <w:t>a child in need plan</w:t>
      </w:r>
      <w:r w:rsidRPr="009E071C">
        <w:t xml:space="preserve">, </w:t>
      </w:r>
      <w:r w:rsidRPr="009E071C">
        <w:rPr>
          <w:b/>
        </w:rPr>
        <w:t>a child protection plan</w:t>
      </w:r>
      <w:r w:rsidRPr="009E071C">
        <w:t xml:space="preserve"> or who are a </w:t>
      </w:r>
      <w:r w:rsidRPr="009E071C">
        <w:rPr>
          <w:b/>
        </w:rPr>
        <w:t xml:space="preserve">looked-after </w:t>
      </w:r>
      <w:proofErr w:type="gramStart"/>
      <w:r w:rsidRPr="009E071C">
        <w:rPr>
          <w:b/>
        </w:rPr>
        <w:t>child</w:t>
      </w:r>
      <w:r w:rsidRPr="009E071C">
        <w:t>;</w:t>
      </w:r>
      <w:proofErr w:type="gramEnd"/>
    </w:p>
    <w:p w14:paraId="2B763008" w14:textId="1DC30C08" w:rsidR="009E071C" w:rsidRPr="009E071C" w:rsidRDefault="009E071C" w:rsidP="009E071C">
      <w:pPr>
        <w:numPr>
          <w:ilvl w:val="0"/>
          <w:numId w:val="35"/>
        </w:numPr>
        <w:spacing w:after="0"/>
      </w:pPr>
      <w:r w:rsidRPr="009E071C">
        <w:t xml:space="preserve">have an </w:t>
      </w:r>
      <w:r w:rsidRPr="009E071C">
        <w:rPr>
          <w:b/>
        </w:rPr>
        <w:t>education, health and care plan (EHCP</w:t>
      </w:r>
      <w:proofErr w:type="gramStart"/>
      <w:r w:rsidRPr="009E071C">
        <w:rPr>
          <w:b/>
        </w:rPr>
        <w:t>)</w:t>
      </w:r>
      <w:r w:rsidRPr="009E071C">
        <w:t>;</w:t>
      </w:r>
      <w:proofErr w:type="gramEnd"/>
    </w:p>
    <w:p w14:paraId="701D6058" w14:textId="77777777" w:rsidR="009E071C" w:rsidRPr="009E071C" w:rsidRDefault="009E071C" w:rsidP="009E071C">
      <w:pPr>
        <w:numPr>
          <w:ilvl w:val="0"/>
          <w:numId w:val="35"/>
        </w:numPr>
        <w:spacing w:after="0"/>
        <w:ind w:hanging="357"/>
      </w:pPr>
      <w:r w:rsidRPr="009E071C">
        <w:t xml:space="preserve">have been identified as </w:t>
      </w:r>
      <w:r w:rsidRPr="009E071C">
        <w:rPr>
          <w:b/>
        </w:rPr>
        <w:t>otherwise vulnerable</w:t>
      </w:r>
      <w:r w:rsidRPr="009E071C">
        <w:t xml:space="preserve"> by educational providers or local authorities (including children’s social care services), and who could therefore benefit from continued full-time attendance, this might include:</w:t>
      </w:r>
    </w:p>
    <w:p w14:paraId="32060E13" w14:textId="77777777" w:rsidR="009E071C" w:rsidRPr="009E071C" w:rsidRDefault="009E071C" w:rsidP="009E071C">
      <w:pPr>
        <w:numPr>
          <w:ilvl w:val="1"/>
          <w:numId w:val="35"/>
        </w:numPr>
        <w:spacing w:after="0"/>
        <w:ind w:hanging="357"/>
      </w:pPr>
      <w:r w:rsidRPr="009E071C">
        <w:rPr>
          <w:b/>
        </w:rPr>
        <w:lastRenderedPageBreak/>
        <w:t>children and young people on the edge of receiving support</w:t>
      </w:r>
      <w:r w:rsidRPr="009E071C">
        <w:t xml:space="preserve"> from children’s social care services or in the process of being referred to children’s </w:t>
      </w:r>
      <w:proofErr w:type="gramStart"/>
      <w:r w:rsidRPr="009E071C">
        <w:t>services</w:t>
      </w:r>
      <w:proofErr w:type="gramEnd"/>
    </w:p>
    <w:p w14:paraId="2D56BD5B" w14:textId="77777777" w:rsidR="009E071C" w:rsidRPr="009E071C" w:rsidRDefault="009E071C" w:rsidP="009E071C">
      <w:pPr>
        <w:numPr>
          <w:ilvl w:val="1"/>
          <w:numId w:val="35"/>
        </w:numPr>
        <w:spacing w:after="0"/>
        <w:ind w:hanging="357"/>
        <w:rPr>
          <w:b/>
        </w:rPr>
      </w:pPr>
      <w:r w:rsidRPr="009E071C">
        <w:rPr>
          <w:b/>
        </w:rPr>
        <w:t xml:space="preserve">adopted children or children on a special guardianship </w:t>
      </w:r>
      <w:proofErr w:type="gramStart"/>
      <w:r w:rsidRPr="009E071C">
        <w:rPr>
          <w:b/>
        </w:rPr>
        <w:t>order</w:t>
      </w:r>
      <w:proofErr w:type="gramEnd"/>
    </w:p>
    <w:p w14:paraId="73AB065A" w14:textId="77777777" w:rsidR="009E071C" w:rsidRPr="009E071C" w:rsidRDefault="009E071C" w:rsidP="009E071C">
      <w:pPr>
        <w:numPr>
          <w:ilvl w:val="1"/>
          <w:numId w:val="35"/>
        </w:numPr>
        <w:spacing w:after="0"/>
        <w:ind w:hanging="357"/>
      </w:pPr>
      <w:r w:rsidRPr="009E071C">
        <w:t xml:space="preserve">those </w:t>
      </w:r>
      <w:r w:rsidRPr="009E071C">
        <w:rPr>
          <w:b/>
        </w:rPr>
        <w:t>at risk of becoming NEET</w:t>
      </w:r>
      <w:r w:rsidRPr="009E071C">
        <w:t xml:space="preserve"> (‘not in employment, education or training’)</w:t>
      </w:r>
    </w:p>
    <w:p w14:paraId="031F90AD" w14:textId="77777777" w:rsidR="009E071C" w:rsidRPr="009E071C" w:rsidRDefault="009E071C" w:rsidP="009E071C">
      <w:pPr>
        <w:numPr>
          <w:ilvl w:val="1"/>
          <w:numId w:val="35"/>
        </w:numPr>
        <w:spacing w:after="0"/>
        <w:ind w:hanging="357"/>
      </w:pPr>
      <w:r w:rsidRPr="009E071C">
        <w:t xml:space="preserve">those </w:t>
      </w:r>
      <w:r w:rsidRPr="009E071C">
        <w:rPr>
          <w:b/>
        </w:rPr>
        <w:t xml:space="preserve">living in temporary </w:t>
      </w:r>
      <w:proofErr w:type="gramStart"/>
      <w:r w:rsidRPr="009E071C">
        <w:rPr>
          <w:b/>
        </w:rPr>
        <w:t>accommodation</w:t>
      </w:r>
      <w:proofErr w:type="gramEnd"/>
    </w:p>
    <w:p w14:paraId="6CFDF890" w14:textId="77777777" w:rsidR="009E071C" w:rsidRPr="009E071C" w:rsidRDefault="009E071C" w:rsidP="009E071C">
      <w:pPr>
        <w:numPr>
          <w:ilvl w:val="1"/>
          <w:numId w:val="35"/>
        </w:numPr>
        <w:spacing w:after="0"/>
        <w:ind w:hanging="357"/>
      </w:pPr>
      <w:r w:rsidRPr="009E071C">
        <w:t xml:space="preserve">those who are </w:t>
      </w:r>
      <w:r w:rsidRPr="009E071C">
        <w:rPr>
          <w:b/>
        </w:rPr>
        <w:t xml:space="preserve">young </w:t>
      </w:r>
      <w:proofErr w:type="gramStart"/>
      <w:r w:rsidRPr="009E071C">
        <w:rPr>
          <w:b/>
        </w:rPr>
        <w:t>carers</w:t>
      </w:r>
      <w:proofErr w:type="gramEnd"/>
    </w:p>
    <w:p w14:paraId="6635A399" w14:textId="77777777" w:rsidR="009E071C" w:rsidRPr="009E071C" w:rsidRDefault="009E071C" w:rsidP="009E071C">
      <w:pPr>
        <w:numPr>
          <w:ilvl w:val="1"/>
          <w:numId w:val="35"/>
        </w:numPr>
        <w:spacing w:after="0"/>
        <w:ind w:hanging="357"/>
      </w:pPr>
      <w:r w:rsidRPr="009E071C">
        <w:t xml:space="preserve">those who may </w:t>
      </w:r>
      <w:r w:rsidRPr="009E071C">
        <w:rPr>
          <w:b/>
        </w:rPr>
        <w:t>have difficulty engaging with remote education at home</w:t>
      </w:r>
      <w:r w:rsidRPr="009E071C">
        <w:t xml:space="preserve"> (for example due to a lack of devices or quiet space to study)</w:t>
      </w:r>
    </w:p>
    <w:p w14:paraId="32D21C18" w14:textId="77777777" w:rsidR="009E071C" w:rsidRPr="009E071C" w:rsidRDefault="009E071C" w:rsidP="009E071C">
      <w:pPr>
        <w:numPr>
          <w:ilvl w:val="1"/>
          <w:numId w:val="35"/>
        </w:numPr>
        <w:spacing w:after="0"/>
        <w:ind w:hanging="357"/>
        <w:rPr>
          <w:b/>
        </w:rPr>
      </w:pPr>
      <w:r w:rsidRPr="009E071C">
        <w:rPr>
          <w:b/>
        </w:rPr>
        <w:t>care leavers</w:t>
      </w:r>
    </w:p>
    <w:p w14:paraId="564BFCD0" w14:textId="24FD2B06" w:rsidR="009E071C" w:rsidRDefault="009E071C" w:rsidP="009E071C">
      <w:pPr>
        <w:numPr>
          <w:ilvl w:val="1"/>
          <w:numId w:val="35"/>
        </w:numPr>
        <w:spacing w:after="0"/>
        <w:ind w:hanging="357"/>
      </w:pPr>
      <w:r w:rsidRPr="009E071C">
        <w:t xml:space="preserve">others at the provider and local authority’s discretion including pupils and students who need to attend </w:t>
      </w:r>
      <w:r w:rsidRPr="009E071C">
        <w:rPr>
          <w:b/>
        </w:rPr>
        <w:t>to receive support or manage risks to their mental health</w:t>
      </w:r>
      <w:r w:rsidRPr="009E071C">
        <w:t>.</w:t>
      </w:r>
    </w:p>
    <w:p w14:paraId="53344C1F" w14:textId="77777777" w:rsidR="00930027" w:rsidRDefault="00930027" w:rsidP="002D5F8D">
      <w:pPr>
        <w:rPr>
          <w:b/>
          <w:color w:val="44546A" w:themeColor="text2"/>
          <w:sz w:val="24"/>
          <w:szCs w:val="24"/>
        </w:rPr>
      </w:pPr>
    </w:p>
    <w:p w14:paraId="1A8D8A5B" w14:textId="584C0557" w:rsidR="002D5F8D" w:rsidRPr="00D944EF" w:rsidRDefault="00E37FFE" w:rsidP="002D5F8D">
      <w:pPr>
        <w:rPr>
          <w:b/>
          <w:color w:val="44546A" w:themeColor="text2"/>
          <w:sz w:val="24"/>
          <w:szCs w:val="24"/>
        </w:rPr>
      </w:pPr>
      <w:r>
        <w:rPr>
          <w:b/>
          <w:color w:val="44546A" w:themeColor="text2"/>
          <w:sz w:val="24"/>
          <w:szCs w:val="24"/>
        </w:rPr>
        <w:t>3</w:t>
      </w:r>
      <w:r w:rsidR="005100EC" w:rsidRPr="005100EC">
        <w:rPr>
          <w:b/>
          <w:color w:val="44546A" w:themeColor="text2"/>
          <w:sz w:val="24"/>
          <w:szCs w:val="24"/>
        </w:rPr>
        <w:t xml:space="preserve">. </w:t>
      </w:r>
      <w:r w:rsidR="000675FC">
        <w:rPr>
          <w:b/>
          <w:color w:val="44546A" w:themeColor="text2"/>
          <w:sz w:val="24"/>
          <w:szCs w:val="24"/>
        </w:rPr>
        <w:t xml:space="preserve">Risk Assessments of </w:t>
      </w:r>
      <w:r w:rsidR="00D253A8">
        <w:rPr>
          <w:b/>
          <w:color w:val="44546A" w:themeColor="text2"/>
          <w:sz w:val="24"/>
          <w:szCs w:val="24"/>
        </w:rPr>
        <w:t>Pupils with SEND</w:t>
      </w:r>
    </w:p>
    <w:p w14:paraId="1133BBCE" w14:textId="30C1CAA5" w:rsidR="002033EE" w:rsidRPr="002033EE" w:rsidRDefault="002033EE" w:rsidP="002033EE">
      <w:r w:rsidRPr="002033EE">
        <w:t>The school is committed to ensuring the safety and wellbeing of all its children and young people. The operational risk assessment of the setting</w:t>
      </w:r>
      <w:r>
        <w:t>, in line with government guidance,</w:t>
      </w:r>
      <w:r w:rsidRPr="002033EE">
        <w:t xml:space="preserve"> will drive decisions on provision </w:t>
      </w:r>
      <w:r>
        <w:t>as h</w:t>
      </w:r>
      <w:r w:rsidRPr="002033EE">
        <w:t>ealth and safety considerations are paramount in all decision making.</w:t>
      </w:r>
    </w:p>
    <w:p w14:paraId="2B95D118" w14:textId="39BE2A54" w:rsidR="002033EE" w:rsidRDefault="006A4AA5" w:rsidP="002033EE">
      <w:r>
        <w:rPr>
          <w:color w:val="000000" w:themeColor="text1"/>
        </w:rPr>
        <w:t>The school may</w:t>
      </w:r>
      <w:r w:rsidR="002033EE" w:rsidRPr="002033EE">
        <w:rPr>
          <w:color w:val="000000" w:themeColor="text1"/>
        </w:rPr>
        <w:t xml:space="preserve"> re-visit </w:t>
      </w:r>
      <w:r w:rsidR="00D96861">
        <w:rPr>
          <w:color w:val="000000" w:themeColor="text1"/>
        </w:rPr>
        <w:t xml:space="preserve">pupil level </w:t>
      </w:r>
      <w:r w:rsidR="002033EE" w:rsidRPr="002033EE">
        <w:t xml:space="preserve">risk assessments previously used </w:t>
      </w:r>
      <w:r w:rsidR="00D96861">
        <w:t>in lockdowns</w:t>
      </w:r>
      <w:r w:rsidR="002033EE" w:rsidRPr="002033EE">
        <w:t xml:space="preserve"> to re-assess and identify what additional support children and young people with SEND may need to access education </w:t>
      </w:r>
      <w:r w:rsidR="00D96861">
        <w:t xml:space="preserve">safely. </w:t>
      </w:r>
      <w:r w:rsidR="00D96861" w:rsidRPr="00D96861">
        <w:t>Pupil level risk assessments may be used to support pupils and th</w:t>
      </w:r>
      <w:r w:rsidR="00D96861">
        <w:t>e staff working with them and are</w:t>
      </w:r>
      <w:r w:rsidR="00D96861" w:rsidRPr="00D96861">
        <w:t xml:space="preserve"> not a reason to deny pupils face-to-face education.</w:t>
      </w:r>
      <w:r w:rsidR="00D96861">
        <w:t xml:space="preserve"> </w:t>
      </w:r>
      <w:r w:rsidR="002033EE" w:rsidRPr="002033EE">
        <w:t xml:space="preserve">Where schools complete these, please see section 12 for an example template. </w:t>
      </w:r>
    </w:p>
    <w:p w14:paraId="51BF686D" w14:textId="011D3EAA" w:rsidR="00F4768C" w:rsidRPr="00F4768C" w:rsidRDefault="00F4768C" w:rsidP="00F4768C">
      <w:r>
        <w:t>When pupils who have been identified as extremely clinically vulnerable have been advised to shield, parents / carers are strongly advised to follow guidance.</w:t>
      </w:r>
      <w:r w:rsidRPr="00F4768C">
        <w:rPr>
          <w:sz w:val="23"/>
          <w:szCs w:val="23"/>
        </w:rPr>
        <w:t xml:space="preserve"> </w:t>
      </w:r>
      <w:r w:rsidRPr="00F4768C">
        <w:t>However,</w:t>
      </w:r>
      <w:r w:rsidR="00693984" w:rsidRPr="00693984">
        <w:t xml:space="preserve"> </w:t>
      </w:r>
      <w:r w:rsidR="00693984">
        <w:t xml:space="preserve">guidance for </w:t>
      </w:r>
      <w:hyperlink r:id="rId11" w:history="1">
        <w:r w:rsidR="00693984" w:rsidRPr="00693984">
          <w:rPr>
            <w:rStyle w:val="Hyperlink"/>
          </w:rPr>
          <w:t>special schools, special post-16 institutions and alternative provision</w:t>
        </w:r>
      </w:hyperlink>
      <w:r w:rsidR="00693984">
        <w:t xml:space="preserve"> states</w:t>
      </w:r>
      <w:r>
        <w:t xml:space="preserve"> that </w:t>
      </w:r>
      <w:r w:rsidRPr="00F4768C">
        <w:t xml:space="preserve">in some exceptional circumstances it may be that the health risks need to be balanced with the wider impact of the child or young person not attending education and accessing the support that would normally be delivered. This might be due to the level of support that they need or their ability to access remote education and additional services such as therapies, as well as the impact on wellbeing for the wider family. </w:t>
      </w:r>
      <w:r>
        <w:t xml:space="preserve"> </w:t>
      </w:r>
      <w:proofErr w:type="gramStart"/>
      <w:r w:rsidR="00CD6A6F">
        <w:t>With this in mind, i</w:t>
      </w:r>
      <w:r w:rsidRPr="00F4768C">
        <w:t>n</w:t>
      </w:r>
      <w:proofErr w:type="gramEnd"/>
      <w:r w:rsidRPr="00F4768C">
        <w:t xml:space="preserve"> these circumstances </w:t>
      </w:r>
      <w:r>
        <w:t xml:space="preserve">we may use a risk assessment process to </w:t>
      </w:r>
      <w:r w:rsidRPr="00F4768C">
        <w:t xml:space="preserve">work with parents and the other organisations to agree the best arrangement for the </w:t>
      </w:r>
      <w:r>
        <w:t xml:space="preserve">child </w:t>
      </w:r>
      <w:r w:rsidRPr="00F4768C">
        <w:t>or young person and their family to ensure that they continue t</w:t>
      </w:r>
      <w:r>
        <w:t>o receive the support they need.</w:t>
      </w:r>
    </w:p>
    <w:p w14:paraId="3CECEE21" w14:textId="77777777" w:rsidR="00D96861" w:rsidRPr="00211BF6" w:rsidRDefault="00D96861" w:rsidP="00D96861">
      <w:r w:rsidRPr="00211BF6">
        <w:t xml:space="preserve">Where a pupil routinely attends more than one setting on a part time basis, for example because they are dual registered at a mainstream school and a special setting, </w:t>
      </w:r>
      <w:r>
        <w:t>the school will work with other settings to</w:t>
      </w:r>
      <w:r w:rsidRPr="00211BF6">
        <w:t xml:space="preserve"> work through the system of controls collaboratively, enabling them to address any risks identified and allowing them to jointly deliver a broad and balanced curriculum for the pupil. Pupils should be able to continue attending both settings. While some adjustment to arrangements may be required, pupils in this situation should not be isolated as a solution to the risk of greater contact except when required by specific public health advice.</w:t>
      </w:r>
    </w:p>
    <w:p w14:paraId="7B8AC4DF" w14:textId="3EF31FB0" w:rsidR="00D762F8" w:rsidRDefault="00D762F8" w:rsidP="00E37FFE">
      <w:pPr>
        <w:rPr>
          <w:b/>
          <w:color w:val="44546A" w:themeColor="text2"/>
          <w:sz w:val="24"/>
          <w:szCs w:val="24"/>
        </w:rPr>
      </w:pPr>
    </w:p>
    <w:p w14:paraId="6A79DAF8" w14:textId="5DB95975" w:rsidR="00E37FFE" w:rsidRPr="008C4552" w:rsidRDefault="00E37FFE" w:rsidP="00E37FFE">
      <w:pPr>
        <w:rPr>
          <w:b/>
          <w:color w:val="44546A" w:themeColor="text2"/>
          <w:sz w:val="24"/>
          <w:szCs w:val="24"/>
        </w:rPr>
      </w:pPr>
      <w:r>
        <w:rPr>
          <w:b/>
          <w:color w:val="44546A" w:themeColor="text2"/>
          <w:sz w:val="24"/>
          <w:szCs w:val="24"/>
        </w:rPr>
        <w:t>4</w:t>
      </w:r>
      <w:r w:rsidRPr="00E07B5B">
        <w:rPr>
          <w:b/>
          <w:color w:val="44546A" w:themeColor="text2"/>
          <w:sz w:val="24"/>
          <w:szCs w:val="24"/>
        </w:rPr>
        <w:t xml:space="preserve">. </w:t>
      </w:r>
      <w:r w:rsidRPr="005100EC">
        <w:rPr>
          <w:b/>
          <w:color w:val="44546A" w:themeColor="text2"/>
          <w:sz w:val="24"/>
          <w:szCs w:val="24"/>
        </w:rPr>
        <w:t xml:space="preserve">Supporting </w:t>
      </w:r>
      <w:r w:rsidR="0051443B">
        <w:rPr>
          <w:b/>
          <w:color w:val="44546A" w:themeColor="text2"/>
          <w:sz w:val="24"/>
          <w:szCs w:val="24"/>
        </w:rPr>
        <w:t>C</w:t>
      </w:r>
      <w:r w:rsidRPr="005100EC">
        <w:rPr>
          <w:b/>
          <w:color w:val="44546A" w:themeColor="text2"/>
          <w:sz w:val="24"/>
          <w:szCs w:val="24"/>
        </w:rPr>
        <w:t>hildren</w:t>
      </w:r>
      <w:r w:rsidR="0003244D">
        <w:rPr>
          <w:b/>
          <w:color w:val="44546A" w:themeColor="text2"/>
          <w:sz w:val="24"/>
          <w:szCs w:val="24"/>
        </w:rPr>
        <w:t xml:space="preserve"> and Young People</w:t>
      </w:r>
      <w:r w:rsidRPr="005100EC">
        <w:rPr>
          <w:b/>
          <w:color w:val="44546A" w:themeColor="text2"/>
          <w:sz w:val="24"/>
          <w:szCs w:val="24"/>
        </w:rPr>
        <w:t xml:space="preserve">’s </w:t>
      </w:r>
      <w:r w:rsidR="0051443B">
        <w:rPr>
          <w:b/>
          <w:color w:val="44546A" w:themeColor="text2"/>
          <w:sz w:val="24"/>
          <w:szCs w:val="24"/>
        </w:rPr>
        <w:t>M</w:t>
      </w:r>
      <w:r w:rsidRPr="005100EC">
        <w:rPr>
          <w:b/>
          <w:color w:val="44546A" w:themeColor="text2"/>
          <w:sz w:val="24"/>
          <w:szCs w:val="24"/>
        </w:rPr>
        <w:t xml:space="preserve">ental </w:t>
      </w:r>
      <w:r w:rsidR="0051443B">
        <w:rPr>
          <w:b/>
          <w:color w:val="44546A" w:themeColor="text2"/>
          <w:sz w:val="24"/>
          <w:szCs w:val="24"/>
        </w:rPr>
        <w:t>H</w:t>
      </w:r>
      <w:r w:rsidRPr="005100EC">
        <w:rPr>
          <w:b/>
          <w:color w:val="44546A" w:themeColor="text2"/>
          <w:sz w:val="24"/>
          <w:szCs w:val="24"/>
        </w:rPr>
        <w:t xml:space="preserve">ealth </w:t>
      </w:r>
    </w:p>
    <w:p w14:paraId="0D721886" w14:textId="608E4718" w:rsidR="00EB387E" w:rsidRDefault="00D35A94" w:rsidP="00EB387E">
      <w:pPr>
        <w:spacing w:before="300" w:after="300" w:line="240" w:lineRule="auto"/>
        <w:rPr>
          <w:rFonts w:eastAsia="Times New Roman" w:cstheme="minorHAnsi"/>
          <w:color w:val="0B0C0C"/>
          <w:lang w:eastAsia="en-GB"/>
        </w:rPr>
      </w:pPr>
      <w:r w:rsidRPr="00D35A94">
        <w:rPr>
          <w:rFonts w:eastAsia="Times New Roman" w:cstheme="minorHAnsi"/>
          <w:color w:val="0B0C0C"/>
          <w:lang w:eastAsia="en-GB"/>
        </w:rPr>
        <w:t xml:space="preserve">Negative experiences and distressing life events, such as the current circumstances, can affect the mental health of pupils and their parents. We are aware that there may be </w:t>
      </w:r>
      <w:r w:rsidR="00E73CF7">
        <w:rPr>
          <w:rFonts w:eastAsia="Times New Roman" w:cstheme="minorHAnsi"/>
          <w:color w:val="0B0C0C"/>
          <w:lang w:eastAsia="en-GB"/>
        </w:rPr>
        <w:t>pupils</w:t>
      </w:r>
      <w:r w:rsidRPr="00D35A94">
        <w:rPr>
          <w:rFonts w:eastAsia="Times New Roman" w:cstheme="minorHAnsi"/>
          <w:color w:val="0B0C0C"/>
          <w:lang w:eastAsia="en-GB"/>
        </w:rPr>
        <w:t xml:space="preserve"> with additional or </w:t>
      </w:r>
      <w:r w:rsidRPr="00D35A94">
        <w:rPr>
          <w:rFonts w:eastAsia="Times New Roman" w:cstheme="minorHAnsi"/>
          <w:color w:val="0B0C0C"/>
          <w:lang w:eastAsia="en-GB"/>
        </w:rPr>
        <w:lastRenderedPageBreak/>
        <w:t xml:space="preserve">worsened social emotional and mental health needs </w:t>
      </w:r>
      <w:proofErr w:type="gramStart"/>
      <w:r w:rsidRPr="00D35A94">
        <w:rPr>
          <w:rFonts w:eastAsia="Times New Roman" w:cstheme="minorHAnsi"/>
          <w:color w:val="0B0C0C"/>
          <w:lang w:eastAsia="en-GB"/>
        </w:rPr>
        <w:t>as a re</w:t>
      </w:r>
      <w:r w:rsidR="00EB387E">
        <w:rPr>
          <w:rFonts w:eastAsia="Times New Roman" w:cstheme="minorHAnsi"/>
          <w:color w:val="0B0C0C"/>
          <w:lang w:eastAsia="en-GB"/>
        </w:rPr>
        <w:t>sult of</w:t>
      </w:r>
      <w:proofErr w:type="gramEnd"/>
      <w:r w:rsidR="00EB387E">
        <w:rPr>
          <w:rFonts w:eastAsia="Times New Roman" w:cstheme="minorHAnsi"/>
          <w:color w:val="0B0C0C"/>
          <w:lang w:eastAsia="en-GB"/>
        </w:rPr>
        <w:t xml:space="preserve"> coronavirus (COVID-19). Additionally, p</w:t>
      </w:r>
      <w:r w:rsidR="00EB387E" w:rsidRPr="00EB387E">
        <w:rPr>
          <w:rFonts w:eastAsia="Times New Roman" w:cstheme="minorHAnsi"/>
          <w:color w:val="0B0C0C"/>
          <w:lang w:eastAsia="en-GB"/>
        </w:rPr>
        <w:t>rovision for pupils who have SEND may have been disrupted during the period of restrictions on attendance and there may be an impact on their behaviour</w:t>
      </w:r>
      <w:r w:rsidR="00FF35EA">
        <w:rPr>
          <w:rFonts w:eastAsia="Times New Roman" w:cstheme="minorHAnsi"/>
          <w:color w:val="0B0C0C"/>
          <w:lang w:eastAsia="en-GB"/>
        </w:rPr>
        <w:t xml:space="preserve"> and emotional wellbeing</w:t>
      </w:r>
      <w:r w:rsidR="00EB387E" w:rsidRPr="00EB387E">
        <w:rPr>
          <w:rFonts w:eastAsia="Times New Roman" w:cstheme="minorHAnsi"/>
          <w:color w:val="0B0C0C"/>
          <w:lang w:eastAsia="en-GB"/>
        </w:rPr>
        <w:t>.</w:t>
      </w:r>
      <w:r w:rsidR="00EB387E">
        <w:rPr>
          <w:rFonts w:eastAsia="Times New Roman" w:cstheme="minorHAnsi"/>
          <w:color w:val="0B0C0C"/>
          <w:lang w:eastAsia="en-GB"/>
        </w:rPr>
        <w:t xml:space="preserve"> </w:t>
      </w:r>
      <w:r w:rsidRPr="00D35A94">
        <w:rPr>
          <w:rFonts w:eastAsia="Times New Roman" w:cstheme="minorHAnsi"/>
          <w:color w:val="0B0C0C"/>
          <w:lang w:eastAsia="en-GB"/>
        </w:rPr>
        <w:t xml:space="preserve">Teachers should be mindful of this, in setting expectations of pupils’ work. </w:t>
      </w:r>
      <w:r w:rsidR="00EB387E" w:rsidRPr="00EB387E">
        <w:rPr>
          <w:rFonts w:eastAsia="Times New Roman" w:cstheme="minorHAnsi"/>
          <w:color w:val="0B0C0C"/>
          <w:lang w:eastAsia="en-GB"/>
        </w:rPr>
        <w:t>These pupils may need additional support and access to services such as edu</w:t>
      </w:r>
      <w:r w:rsidR="00EB387E" w:rsidRPr="004F6300">
        <w:rPr>
          <w:rFonts w:eastAsia="Times New Roman" w:cstheme="minorHAnsi"/>
          <w:color w:val="0B0C0C"/>
          <w:lang w:eastAsia="en-GB"/>
        </w:rPr>
        <w:t>cationa</w:t>
      </w:r>
      <w:r w:rsidR="006D2290" w:rsidRPr="004F6300">
        <w:rPr>
          <w:rFonts w:eastAsia="Times New Roman" w:cstheme="minorHAnsi"/>
          <w:color w:val="0B0C0C"/>
          <w:lang w:eastAsia="en-GB"/>
        </w:rPr>
        <w:t>l psychologists, social workers, the Astrea Therapeutic Team, specialist staff or</w:t>
      </w:r>
      <w:r w:rsidR="006D2290" w:rsidRPr="006D2290">
        <w:rPr>
          <w:rFonts w:eastAsia="Times New Roman" w:cstheme="minorHAnsi"/>
          <w:color w:val="0B0C0C"/>
          <w:lang w:eastAsia="en-GB"/>
        </w:rPr>
        <w:t xml:space="preserve"> external support services.</w:t>
      </w:r>
      <w:r w:rsidR="00F4768C">
        <w:rPr>
          <w:rFonts w:eastAsia="Times New Roman" w:cstheme="minorHAnsi"/>
          <w:color w:val="0B0C0C"/>
          <w:lang w:eastAsia="en-GB"/>
        </w:rPr>
        <w:t xml:space="preserve">  </w:t>
      </w:r>
    </w:p>
    <w:p w14:paraId="052EAFAE" w14:textId="43A78A51" w:rsidR="00EB387E" w:rsidRPr="00EB387E" w:rsidRDefault="00EB387E" w:rsidP="00D55651">
      <w:pPr>
        <w:spacing w:after="0" w:line="240" w:lineRule="auto"/>
        <w:rPr>
          <w:rFonts w:eastAsia="Times New Roman" w:cstheme="minorHAnsi"/>
          <w:color w:val="0B0C0C"/>
          <w:lang w:eastAsia="en-GB"/>
        </w:rPr>
      </w:pPr>
      <w:r>
        <w:rPr>
          <w:rFonts w:eastAsia="Times New Roman" w:cstheme="minorHAnsi"/>
          <w:color w:val="0B0C0C"/>
          <w:lang w:eastAsia="en-GB"/>
        </w:rPr>
        <w:t>G</w:t>
      </w:r>
      <w:r w:rsidRPr="00EB387E">
        <w:rPr>
          <w:rFonts w:eastAsia="Times New Roman" w:cstheme="minorHAnsi"/>
          <w:color w:val="0B0C0C"/>
          <w:lang w:eastAsia="en-GB"/>
        </w:rPr>
        <w:t>overnment guidance (found here), states:</w:t>
      </w:r>
    </w:p>
    <w:p w14:paraId="4B644A1D" w14:textId="5E702BF9" w:rsidR="00EB387E" w:rsidRDefault="00EB387E" w:rsidP="00D55651">
      <w:pPr>
        <w:spacing w:after="0" w:line="240" w:lineRule="auto"/>
        <w:rPr>
          <w:rFonts w:eastAsia="Times New Roman" w:cstheme="minorHAnsi"/>
          <w:i/>
          <w:color w:val="0B0C0C"/>
          <w:lang w:eastAsia="en-GB"/>
        </w:rPr>
      </w:pPr>
      <w:r w:rsidRPr="00EB387E">
        <w:rPr>
          <w:rFonts w:eastAsia="Times New Roman" w:cstheme="minorHAnsi"/>
          <w:i/>
          <w:color w:val="0B0C0C"/>
          <w:lang w:eastAsia="en-GB"/>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w:t>
      </w:r>
    </w:p>
    <w:p w14:paraId="1053DBCE" w14:textId="77777777" w:rsidR="00D55651" w:rsidRPr="00EB387E" w:rsidRDefault="00D55651" w:rsidP="00D55651">
      <w:pPr>
        <w:spacing w:after="0" w:line="240" w:lineRule="auto"/>
        <w:rPr>
          <w:rFonts w:eastAsia="Times New Roman" w:cstheme="minorHAnsi"/>
          <w:i/>
          <w:color w:val="0B0C0C"/>
          <w:lang w:eastAsia="en-GB"/>
        </w:rPr>
      </w:pPr>
    </w:p>
    <w:p w14:paraId="5FF2103F" w14:textId="77777777" w:rsidR="004D42CB" w:rsidRDefault="004D42CB" w:rsidP="004D42CB">
      <w:pPr>
        <w:spacing w:after="0" w:line="240" w:lineRule="auto"/>
        <w:rPr>
          <w:rFonts w:eastAsia="Times New Roman" w:cstheme="minorHAnsi"/>
          <w:color w:val="0B0C0C"/>
          <w:lang w:eastAsia="en-GB"/>
        </w:rPr>
      </w:pPr>
      <w:r>
        <w:rPr>
          <w:rFonts w:eastAsia="Times New Roman" w:cstheme="minorHAnsi"/>
          <w:color w:val="0B0C0C"/>
          <w:lang w:eastAsia="en-GB"/>
        </w:rPr>
        <w:t xml:space="preserve">The school will consider using </w:t>
      </w:r>
      <w:r w:rsidRPr="004D42CB">
        <w:rPr>
          <w:rFonts w:eastAsia="Times New Roman" w:cstheme="minorHAnsi"/>
          <w:color w:val="0B0C0C"/>
          <w:lang w:eastAsia="en-GB"/>
        </w:rPr>
        <w:t>pastoral and extra-curricular activities to:</w:t>
      </w:r>
    </w:p>
    <w:p w14:paraId="0E052FB4" w14:textId="1D05860B" w:rsidR="004D42CB" w:rsidRDefault="004D42CB" w:rsidP="004D42CB">
      <w:pPr>
        <w:pStyle w:val="ListParagraph"/>
        <w:numPr>
          <w:ilvl w:val="0"/>
          <w:numId w:val="29"/>
        </w:numPr>
        <w:spacing w:after="0" w:line="240" w:lineRule="auto"/>
        <w:rPr>
          <w:rFonts w:eastAsia="Times New Roman" w:cstheme="minorHAnsi"/>
          <w:color w:val="0B0C0C"/>
          <w:lang w:eastAsia="en-GB"/>
        </w:rPr>
      </w:pPr>
      <w:r w:rsidRPr="004D42CB">
        <w:rPr>
          <w:rFonts w:eastAsia="Times New Roman" w:cstheme="minorHAnsi"/>
          <w:color w:val="0B0C0C"/>
          <w:lang w:eastAsia="en-GB"/>
        </w:rPr>
        <w:t xml:space="preserve">support the rebuilding of friendships and social </w:t>
      </w:r>
      <w:proofErr w:type="gramStart"/>
      <w:r w:rsidRPr="004D42CB">
        <w:rPr>
          <w:rFonts w:eastAsia="Times New Roman" w:cstheme="minorHAnsi"/>
          <w:color w:val="0B0C0C"/>
          <w:lang w:eastAsia="en-GB"/>
        </w:rPr>
        <w:t>engagement</w:t>
      </w:r>
      <w:proofErr w:type="gramEnd"/>
    </w:p>
    <w:p w14:paraId="6AD66CEC" w14:textId="45E2CBAD" w:rsidR="004D42CB" w:rsidRDefault="004D42CB" w:rsidP="004D42CB">
      <w:pPr>
        <w:pStyle w:val="ListParagraph"/>
        <w:numPr>
          <w:ilvl w:val="0"/>
          <w:numId w:val="29"/>
        </w:numPr>
        <w:spacing w:after="0" w:line="240" w:lineRule="auto"/>
        <w:rPr>
          <w:rFonts w:eastAsia="Times New Roman" w:cstheme="minorHAnsi"/>
          <w:color w:val="0B0C0C"/>
          <w:lang w:eastAsia="en-GB"/>
        </w:rPr>
      </w:pPr>
      <w:r w:rsidRPr="004D42CB">
        <w:rPr>
          <w:rFonts w:eastAsia="Times New Roman" w:cstheme="minorHAnsi"/>
          <w:color w:val="0B0C0C"/>
          <w:lang w:eastAsia="en-GB"/>
        </w:rPr>
        <w:t>address and equip pupils to respond to issues linked to coronavirus (COVID-19)</w:t>
      </w:r>
    </w:p>
    <w:p w14:paraId="08C89733" w14:textId="77BB52E4" w:rsidR="004D42CB" w:rsidRDefault="004D42CB" w:rsidP="004D42CB">
      <w:pPr>
        <w:pStyle w:val="ListParagraph"/>
        <w:numPr>
          <w:ilvl w:val="0"/>
          <w:numId w:val="29"/>
        </w:numPr>
        <w:spacing w:after="0" w:line="240" w:lineRule="auto"/>
        <w:rPr>
          <w:rFonts w:eastAsia="Times New Roman" w:cstheme="minorHAnsi"/>
          <w:color w:val="0B0C0C"/>
          <w:lang w:eastAsia="en-GB"/>
        </w:rPr>
      </w:pPr>
      <w:r w:rsidRPr="004D42CB">
        <w:rPr>
          <w:rFonts w:eastAsia="Times New Roman" w:cstheme="minorHAnsi"/>
          <w:color w:val="0B0C0C"/>
          <w:lang w:eastAsia="en-GB"/>
        </w:rPr>
        <w:t xml:space="preserve">support pupils with approaches to improving their physical and mental </w:t>
      </w:r>
      <w:proofErr w:type="gramStart"/>
      <w:r w:rsidRPr="004D42CB">
        <w:rPr>
          <w:rFonts w:eastAsia="Times New Roman" w:cstheme="minorHAnsi"/>
          <w:color w:val="0B0C0C"/>
          <w:lang w:eastAsia="en-GB"/>
        </w:rPr>
        <w:t>wellbeing</w:t>
      </w:r>
      <w:proofErr w:type="gramEnd"/>
    </w:p>
    <w:p w14:paraId="3D1878E7" w14:textId="47095377" w:rsidR="004D42CB" w:rsidRDefault="004D42CB" w:rsidP="004D42CB">
      <w:pPr>
        <w:pStyle w:val="ListParagraph"/>
        <w:numPr>
          <w:ilvl w:val="0"/>
          <w:numId w:val="29"/>
        </w:numPr>
        <w:spacing w:after="0" w:line="240" w:lineRule="auto"/>
        <w:rPr>
          <w:rFonts w:eastAsia="Times New Roman" w:cstheme="minorHAnsi"/>
          <w:color w:val="0B0C0C"/>
          <w:lang w:eastAsia="en-GB"/>
        </w:rPr>
      </w:pPr>
      <w:r>
        <w:rPr>
          <w:rFonts w:eastAsia="Times New Roman" w:cstheme="minorHAnsi"/>
          <w:color w:val="0B0C0C"/>
          <w:lang w:eastAsia="en-GB"/>
        </w:rPr>
        <w:t>provide focused pastoral support for pupils’ individual issues.</w:t>
      </w:r>
    </w:p>
    <w:p w14:paraId="4BD3D1E0" w14:textId="29307E2C" w:rsidR="00F4768C" w:rsidRDefault="00F4768C" w:rsidP="00F4768C">
      <w:pPr>
        <w:spacing w:after="0" w:line="240" w:lineRule="auto"/>
        <w:rPr>
          <w:rFonts w:eastAsia="Times New Roman" w:cstheme="minorHAnsi"/>
          <w:color w:val="0B0C0C"/>
          <w:lang w:eastAsia="en-GB"/>
        </w:rPr>
      </w:pPr>
    </w:p>
    <w:p w14:paraId="685F18A8" w14:textId="77777777" w:rsidR="00F4768C" w:rsidRDefault="00F4768C" w:rsidP="004D42CB">
      <w:pPr>
        <w:spacing w:after="0" w:line="240" w:lineRule="auto"/>
        <w:rPr>
          <w:rFonts w:eastAsia="Times New Roman" w:cstheme="minorHAnsi"/>
          <w:color w:val="0B0C0C"/>
          <w:lang w:eastAsia="en-GB"/>
        </w:rPr>
      </w:pPr>
      <w:r>
        <w:rPr>
          <w:rFonts w:eastAsia="Times New Roman" w:cstheme="minorHAnsi"/>
          <w:color w:val="0B0C0C"/>
          <w:lang w:eastAsia="en-GB"/>
        </w:rPr>
        <w:t xml:space="preserve">Additionally, for pupils accessing remote education (because they are shielding, self-isolating or vulnerable), the school will still endeavour to offer pastoral support.  </w:t>
      </w:r>
    </w:p>
    <w:p w14:paraId="6D1992F2" w14:textId="77777777" w:rsidR="00F4768C" w:rsidRDefault="00F4768C" w:rsidP="004D42CB">
      <w:pPr>
        <w:spacing w:after="0" w:line="240" w:lineRule="auto"/>
        <w:rPr>
          <w:rFonts w:eastAsia="Times New Roman" w:cstheme="minorHAnsi"/>
          <w:color w:val="0B0C0C"/>
          <w:lang w:eastAsia="en-GB"/>
        </w:rPr>
      </w:pPr>
    </w:p>
    <w:p w14:paraId="7D42DBAC" w14:textId="3F745625" w:rsidR="004D42CB" w:rsidRDefault="004D42CB" w:rsidP="004D42CB">
      <w:pPr>
        <w:spacing w:after="0" w:line="240" w:lineRule="auto"/>
        <w:rPr>
          <w:rFonts w:eastAsia="Times New Roman" w:cstheme="minorHAnsi"/>
          <w:color w:val="0B0C0C"/>
          <w:lang w:eastAsia="en-GB"/>
        </w:rPr>
      </w:pPr>
      <w:r>
        <w:rPr>
          <w:rFonts w:eastAsia="Times New Roman" w:cstheme="minorHAnsi"/>
          <w:color w:val="0B0C0C"/>
          <w:lang w:eastAsia="en-GB"/>
        </w:rPr>
        <w:t>The school will also work with school nurses as appropriate to:</w:t>
      </w:r>
    </w:p>
    <w:p w14:paraId="2DF25720" w14:textId="0D81AE67" w:rsidR="004D42CB" w:rsidRDefault="004D42CB" w:rsidP="004D42CB">
      <w:pPr>
        <w:pStyle w:val="ListParagraph"/>
        <w:numPr>
          <w:ilvl w:val="0"/>
          <w:numId w:val="34"/>
        </w:numPr>
        <w:spacing w:after="0" w:line="240" w:lineRule="auto"/>
        <w:rPr>
          <w:rFonts w:eastAsia="Times New Roman" w:cstheme="minorHAnsi"/>
          <w:color w:val="0B0C0C"/>
          <w:lang w:eastAsia="en-GB"/>
        </w:rPr>
      </w:pPr>
      <w:r w:rsidRPr="004D42CB">
        <w:rPr>
          <w:rFonts w:eastAsia="Times New Roman" w:cstheme="minorHAnsi"/>
          <w:color w:val="0B0C0C"/>
          <w:lang w:eastAsia="en-GB"/>
        </w:rPr>
        <w:t xml:space="preserve">support the delivery of the </w:t>
      </w:r>
      <w:hyperlink r:id="rId12" w:history="1">
        <w:r w:rsidRPr="004D42CB">
          <w:rPr>
            <w:rStyle w:val="Hyperlink"/>
            <w:rFonts w:eastAsia="Times New Roman" w:cstheme="minorHAnsi"/>
            <w:lang w:eastAsia="en-GB"/>
          </w:rPr>
          <w:t>healthy child programme</w:t>
        </w:r>
      </w:hyperlink>
      <w:r w:rsidR="00A95572">
        <w:rPr>
          <w:rStyle w:val="Hyperlink"/>
          <w:rFonts w:eastAsia="Times New Roman" w:cstheme="minorHAnsi"/>
          <w:lang w:eastAsia="en-GB"/>
        </w:rPr>
        <w:t xml:space="preserve"> </w:t>
      </w:r>
    </w:p>
    <w:p w14:paraId="746A7C04" w14:textId="3A76D973" w:rsidR="004D42CB" w:rsidRDefault="004D42CB" w:rsidP="004D42CB">
      <w:pPr>
        <w:pStyle w:val="ListParagraph"/>
        <w:numPr>
          <w:ilvl w:val="0"/>
          <w:numId w:val="34"/>
        </w:numPr>
        <w:spacing w:after="0" w:line="240" w:lineRule="auto"/>
        <w:rPr>
          <w:rFonts w:eastAsia="Times New Roman" w:cstheme="minorHAnsi"/>
          <w:color w:val="0B0C0C"/>
          <w:lang w:eastAsia="en-GB"/>
        </w:rPr>
      </w:pPr>
      <w:r w:rsidRPr="004D42CB">
        <w:rPr>
          <w:rFonts w:eastAsia="Times New Roman" w:cstheme="minorHAnsi"/>
          <w:color w:val="0B0C0C"/>
          <w:lang w:eastAsia="en-GB"/>
        </w:rPr>
        <w:t xml:space="preserve">identify any health and wellbeing </w:t>
      </w:r>
      <w:proofErr w:type="gramStart"/>
      <w:r w:rsidRPr="004D42CB">
        <w:rPr>
          <w:rFonts w:eastAsia="Times New Roman" w:cstheme="minorHAnsi"/>
          <w:color w:val="0B0C0C"/>
          <w:lang w:eastAsia="en-GB"/>
        </w:rPr>
        <w:t>needs</w:t>
      </w:r>
      <w:proofErr w:type="gramEnd"/>
    </w:p>
    <w:p w14:paraId="4CE163CC" w14:textId="7940AA24" w:rsidR="004D42CB" w:rsidRPr="004D42CB" w:rsidRDefault="004D42CB" w:rsidP="004D42CB">
      <w:pPr>
        <w:pStyle w:val="ListParagraph"/>
        <w:numPr>
          <w:ilvl w:val="0"/>
          <w:numId w:val="34"/>
        </w:numPr>
        <w:spacing w:after="0" w:line="240" w:lineRule="auto"/>
        <w:rPr>
          <w:rFonts w:eastAsia="Times New Roman" w:cstheme="minorHAnsi"/>
          <w:color w:val="0B0C0C"/>
          <w:lang w:eastAsia="en-GB"/>
        </w:rPr>
      </w:pPr>
      <w:r>
        <w:rPr>
          <w:rFonts w:eastAsia="Times New Roman" w:cstheme="minorHAnsi"/>
          <w:color w:val="0B0C0C"/>
          <w:lang w:eastAsia="en-GB"/>
        </w:rPr>
        <w:t xml:space="preserve">provide </w:t>
      </w:r>
      <w:r w:rsidRPr="004D42CB">
        <w:rPr>
          <w:rFonts w:eastAsia="Times New Roman" w:cstheme="minorHAnsi"/>
          <w:color w:val="0B0C0C"/>
          <w:lang w:eastAsia="en-GB"/>
        </w:rPr>
        <w:t xml:space="preserve">support for resilience, mental health and wellbeing including anxiety, bereavement and sleep </w:t>
      </w:r>
      <w:proofErr w:type="gramStart"/>
      <w:r w:rsidRPr="004D42CB">
        <w:rPr>
          <w:rFonts w:eastAsia="Times New Roman" w:cstheme="minorHAnsi"/>
          <w:color w:val="0B0C0C"/>
          <w:lang w:eastAsia="en-GB"/>
        </w:rPr>
        <w:t>issues</w:t>
      </w:r>
      <w:proofErr w:type="gramEnd"/>
    </w:p>
    <w:p w14:paraId="7C80EC1D" w14:textId="4E3AFC0D" w:rsidR="004D42CB" w:rsidRPr="004D42CB" w:rsidRDefault="004D42CB" w:rsidP="004D42CB">
      <w:pPr>
        <w:pStyle w:val="ListParagraph"/>
        <w:numPr>
          <w:ilvl w:val="0"/>
          <w:numId w:val="34"/>
        </w:numPr>
        <w:spacing w:after="0" w:line="240" w:lineRule="auto"/>
        <w:rPr>
          <w:rFonts w:eastAsia="Times New Roman" w:cstheme="minorHAnsi"/>
          <w:color w:val="0B0C0C"/>
          <w:lang w:eastAsia="en-GB"/>
        </w:rPr>
      </w:pPr>
      <w:r w:rsidRPr="004D42CB">
        <w:rPr>
          <w:rFonts w:eastAsia="Times New Roman" w:cstheme="minorHAnsi"/>
          <w:color w:val="0B0C0C"/>
          <w:lang w:eastAsia="en-GB"/>
        </w:rPr>
        <w:t>support pupils with additional and complex health needs</w:t>
      </w:r>
      <w:r>
        <w:rPr>
          <w:rFonts w:eastAsia="Times New Roman" w:cstheme="minorHAnsi"/>
          <w:color w:val="0B0C0C"/>
          <w:lang w:eastAsia="en-GB"/>
        </w:rPr>
        <w:t>.</w:t>
      </w:r>
    </w:p>
    <w:p w14:paraId="003E9440" w14:textId="23C7C204" w:rsidR="0003244D" w:rsidRPr="00AB4863" w:rsidRDefault="00D35A94" w:rsidP="00EB387E">
      <w:pPr>
        <w:spacing w:before="300" w:after="300" w:line="240" w:lineRule="auto"/>
        <w:rPr>
          <w:rFonts w:eastAsia="Times New Roman" w:cstheme="minorHAnsi"/>
          <w:color w:val="0000FF"/>
          <w:u w:val="single"/>
          <w:lang w:eastAsia="en-GB"/>
        </w:rPr>
      </w:pPr>
      <w:r w:rsidRPr="00D35A94">
        <w:rPr>
          <w:rFonts w:eastAsia="Times New Roman" w:cstheme="minorHAnsi"/>
          <w:color w:val="0B0C0C"/>
          <w:lang w:eastAsia="en-GB"/>
        </w:rPr>
        <w:t xml:space="preserve">The government has issued guidance and advice for parents/carers on looking after the mental health and wellbeing of children or young people during the COVID-19 outbreak.  When considering mental health and wellbeing, the school will also refer to this as a starting point -  </w:t>
      </w:r>
      <w:hyperlink r:id="rId13" w:history="1">
        <w:r w:rsidRPr="00D35A94">
          <w:rPr>
            <w:rFonts w:eastAsia="Times New Roman" w:cstheme="minorHAnsi"/>
            <w:color w:val="0000FF"/>
            <w:u w:val="single"/>
            <w:lang w:eastAsia="en-GB"/>
          </w:rPr>
          <w:t>guidance for parents and carers on supporting children and young people’s mental health and wellbeing during the coronavirus outbreak.</w:t>
        </w:r>
      </w:hyperlink>
      <w:r w:rsidRPr="00D35A94">
        <w:rPr>
          <w:rFonts w:eastAsia="Times New Roman" w:cstheme="minorHAnsi"/>
          <w:color w:val="0000FF"/>
          <w:lang w:eastAsia="en-GB"/>
        </w:rPr>
        <w:t xml:space="preserve">  </w:t>
      </w:r>
      <w:r w:rsidRPr="00D35A94">
        <w:rPr>
          <w:rFonts w:eastAsia="Times New Roman" w:cstheme="minorHAnsi"/>
          <w:lang w:eastAsia="en-GB"/>
        </w:rPr>
        <w:t xml:space="preserve">Further information for parents and carers in relation to supporting mental health and wellbeing can be found in the Astrea Home Learning brochures which can be found </w:t>
      </w:r>
      <w:hyperlink r:id="rId14" w:history="1">
        <w:r w:rsidRPr="00D35A94">
          <w:rPr>
            <w:rFonts w:eastAsia="Times New Roman" w:cstheme="minorHAnsi"/>
            <w:color w:val="0000FF"/>
            <w:u w:val="single"/>
            <w:lang w:eastAsia="en-GB"/>
          </w:rPr>
          <w:t>here.</w:t>
        </w:r>
      </w:hyperlink>
      <w:r w:rsidR="00AB4863">
        <w:rPr>
          <w:rFonts w:eastAsia="Times New Roman" w:cstheme="minorHAnsi"/>
          <w:color w:val="0000FF"/>
          <w:u w:val="single"/>
          <w:lang w:eastAsia="en-GB"/>
        </w:rPr>
        <w:t xml:space="preserve">  </w:t>
      </w:r>
      <w:r w:rsidR="0003244D" w:rsidRPr="0003244D">
        <w:rPr>
          <w:rFonts w:eastAsia="Times New Roman" w:cstheme="minorHAnsi"/>
          <w:color w:val="0B0C0C"/>
          <w:lang w:eastAsia="en-GB"/>
        </w:rPr>
        <w:t>Parents/carers can also contact their GP or refer to NHS 111 online</w:t>
      </w:r>
      <w:r w:rsidR="0003244D">
        <w:rPr>
          <w:rFonts w:eastAsia="Times New Roman" w:cstheme="minorHAnsi"/>
          <w:color w:val="0B0C0C"/>
          <w:lang w:eastAsia="en-GB"/>
        </w:rPr>
        <w:t xml:space="preserve"> if they have concerns about their child’s mental health.</w:t>
      </w:r>
      <w:r w:rsidR="0003244D" w:rsidRPr="0003244D">
        <w:rPr>
          <w:rFonts w:eastAsia="Times New Roman" w:cstheme="minorHAnsi"/>
          <w:color w:val="0B0C0C"/>
          <w:lang w:eastAsia="en-GB"/>
        </w:rPr>
        <w:t xml:space="preserve">  NHS trusts have also established 24-hour urgent mental health helplines in most parts of England for people of all ages as it is important to discuss </w:t>
      </w:r>
      <w:r w:rsidR="003C4771">
        <w:rPr>
          <w:rFonts w:eastAsia="Times New Roman" w:cstheme="minorHAnsi"/>
          <w:color w:val="0B0C0C"/>
          <w:lang w:eastAsia="en-GB"/>
        </w:rPr>
        <w:t xml:space="preserve">such </w:t>
      </w:r>
      <w:r w:rsidR="0003244D" w:rsidRPr="0003244D">
        <w:rPr>
          <w:rFonts w:eastAsia="Times New Roman" w:cstheme="minorHAnsi"/>
          <w:color w:val="0B0C0C"/>
          <w:lang w:eastAsia="en-GB"/>
        </w:rPr>
        <w:t xml:space="preserve">mental health issues with a professional.  </w:t>
      </w:r>
    </w:p>
    <w:p w14:paraId="372AE58F" w14:textId="6D8FDEBD" w:rsidR="004D42CB" w:rsidRPr="00D35A94" w:rsidRDefault="004D42CB" w:rsidP="00D35A94">
      <w:pPr>
        <w:spacing w:after="0" w:line="240" w:lineRule="auto"/>
        <w:rPr>
          <w:rFonts w:eastAsia="Times New Roman" w:cstheme="minorHAnsi"/>
          <w:lang w:eastAsia="en-GB"/>
        </w:rPr>
      </w:pPr>
      <w:r>
        <w:rPr>
          <w:rFonts w:eastAsia="Times New Roman" w:cstheme="minorHAnsi"/>
          <w:lang w:eastAsia="en-GB"/>
        </w:rPr>
        <w:t xml:space="preserve">In response, </w:t>
      </w:r>
      <w:hyperlink r:id="rId15" w:anchor="wraparound-provision-and-extra-curricular-activity" w:history="1">
        <w:r w:rsidRPr="00B57B13">
          <w:rPr>
            <w:rStyle w:val="Hyperlink"/>
            <w:rFonts w:eastAsia="Times New Roman" w:cstheme="minorHAnsi"/>
            <w:lang w:eastAsia="en-GB"/>
          </w:rPr>
          <w:t>government</w:t>
        </w:r>
        <w:r w:rsidR="00D35A94" w:rsidRPr="00B57B13">
          <w:rPr>
            <w:rStyle w:val="Hyperlink"/>
            <w:rFonts w:eastAsia="Times New Roman" w:cstheme="minorHAnsi"/>
            <w:lang w:eastAsia="en-GB"/>
          </w:rPr>
          <w:t xml:space="preserve"> guidance</w:t>
        </w:r>
      </w:hyperlink>
      <w:r w:rsidR="00D35A94" w:rsidRPr="00D35A94">
        <w:rPr>
          <w:rFonts w:eastAsia="Times New Roman" w:cstheme="minorHAnsi"/>
          <w:lang w:eastAsia="en-GB"/>
        </w:rPr>
        <w:t xml:space="preserve"> provides specific school information and signposting to:</w:t>
      </w:r>
    </w:p>
    <w:p w14:paraId="2436E211" w14:textId="299155DD" w:rsidR="004D42CB" w:rsidRPr="00D35A94" w:rsidRDefault="004D42CB" w:rsidP="004D42CB">
      <w:pPr>
        <w:numPr>
          <w:ilvl w:val="0"/>
          <w:numId w:val="27"/>
        </w:numPr>
        <w:spacing w:after="0" w:line="240" w:lineRule="auto"/>
        <w:rPr>
          <w:rFonts w:eastAsia="Times New Roman" w:cstheme="minorHAnsi"/>
          <w:lang w:eastAsia="en-GB"/>
        </w:rPr>
      </w:pPr>
      <w:r>
        <w:rPr>
          <w:rFonts w:eastAsia="Times New Roman" w:cstheme="minorHAnsi"/>
          <w:lang w:eastAsia="en-GB"/>
        </w:rPr>
        <w:t>an</w:t>
      </w:r>
      <w:r w:rsidRPr="004D42CB">
        <w:rPr>
          <w:rFonts w:eastAsia="Times New Roman" w:cstheme="minorHAnsi"/>
          <w:lang w:eastAsia="en-GB"/>
        </w:rPr>
        <w:t xml:space="preserve"> </w:t>
      </w:r>
      <w:hyperlink r:id="rId16" w:history="1">
        <w:r w:rsidRPr="004D42CB">
          <w:rPr>
            <w:rStyle w:val="Hyperlink"/>
            <w:rFonts w:eastAsia="Times New Roman" w:cstheme="minorHAnsi"/>
            <w:lang w:eastAsia="en-GB"/>
          </w:rPr>
          <w:t>'Every interaction matters'</w:t>
        </w:r>
      </w:hyperlink>
      <w:r w:rsidRPr="004D42CB">
        <w:rPr>
          <w:rFonts w:eastAsia="Times New Roman" w:cstheme="minorHAnsi"/>
          <w:lang w:eastAsia="en-GB"/>
        </w:rPr>
        <w:t xml:space="preserve"> webinar can help with offering pastoral support for </w:t>
      </w:r>
      <w:proofErr w:type="gramStart"/>
      <w:r w:rsidRPr="004D42CB">
        <w:rPr>
          <w:rFonts w:eastAsia="Times New Roman" w:cstheme="minorHAnsi"/>
          <w:lang w:eastAsia="en-GB"/>
        </w:rPr>
        <w:t>wellbeing</w:t>
      </w:r>
      <w:proofErr w:type="gramEnd"/>
    </w:p>
    <w:p w14:paraId="6D68F82C" w14:textId="77777777" w:rsidR="00D35A94" w:rsidRPr="00D35A94" w:rsidRDefault="00D35A94" w:rsidP="00D35A94">
      <w:pPr>
        <w:numPr>
          <w:ilvl w:val="0"/>
          <w:numId w:val="27"/>
        </w:numPr>
        <w:spacing w:after="0" w:line="240" w:lineRule="auto"/>
        <w:rPr>
          <w:rFonts w:eastAsia="Times New Roman" w:cstheme="minorHAnsi"/>
          <w:lang w:eastAsia="en-GB"/>
        </w:rPr>
      </w:pPr>
      <w:r w:rsidRPr="00D35A94">
        <w:rPr>
          <w:rFonts w:eastAsia="Times New Roman" w:cstheme="minorHAnsi"/>
          <w:lang w:eastAsia="en-GB"/>
        </w:rPr>
        <w:t xml:space="preserve">a </w:t>
      </w:r>
      <w:hyperlink r:id="rId17" w:history="1">
        <w:r w:rsidRPr="00D35A94">
          <w:rPr>
            <w:rFonts w:eastAsia="Times New Roman" w:cstheme="minorHAnsi"/>
            <w:color w:val="0000FF"/>
            <w:u w:val="single"/>
            <w:lang w:eastAsia="en-GB"/>
          </w:rPr>
          <w:t>webinar</w:t>
        </w:r>
      </w:hyperlink>
      <w:r w:rsidRPr="00D35A94">
        <w:rPr>
          <w:rFonts w:eastAsia="Times New Roman" w:cstheme="minorHAnsi"/>
          <w:lang w:eastAsia="en-GB"/>
        </w:rPr>
        <w:t xml:space="preserve"> recording from the DfE, Public Health England and NHS England for educational professionals on how to support pupil </w:t>
      </w:r>
      <w:proofErr w:type="gramStart"/>
      <w:r w:rsidRPr="00D35A94">
        <w:rPr>
          <w:rFonts w:eastAsia="Times New Roman" w:cstheme="minorHAnsi"/>
          <w:lang w:eastAsia="en-GB"/>
        </w:rPr>
        <w:t>wellbeing;</w:t>
      </w:r>
      <w:proofErr w:type="gramEnd"/>
    </w:p>
    <w:p w14:paraId="6F05A5D8" w14:textId="142FEF0F" w:rsidR="00D35A94" w:rsidRDefault="00D35A94" w:rsidP="00D35A94">
      <w:pPr>
        <w:numPr>
          <w:ilvl w:val="0"/>
          <w:numId w:val="27"/>
        </w:numPr>
        <w:spacing w:after="0" w:line="240" w:lineRule="auto"/>
        <w:rPr>
          <w:rFonts w:eastAsia="Times New Roman" w:cstheme="minorHAnsi"/>
          <w:lang w:eastAsia="en-GB"/>
        </w:rPr>
      </w:pPr>
      <w:r w:rsidRPr="00D35A94">
        <w:rPr>
          <w:rFonts w:eastAsia="Times New Roman" w:cstheme="minorHAnsi"/>
          <w:lang w:eastAsia="en-GB"/>
        </w:rPr>
        <w:t>The Whole School SEND consortium – who have produced a variety of resources to support educational staff as well as families.  This includes</w:t>
      </w:r>
      <w:r w:rsidRPr="00D35A94">
        <w:rPr>
          <w:rFonts w:ascii="Times New Roman" w:eastAsia="Times New Roman" w:hAnsi="Times New Roman" w:cs="Times New Roman"/>
          <w:sz w:val="24"/>
          <w:szCs w:val="24"/>
          <w:lang w:eastAsia="en-GB"/>
        </w:rPr>
        <w:t xml:space="preserve"> </w:t>
      </w:r>
      <w:r w:rsidRPr="00D35A94">
        <w:rPr>
          <w:rFonts w:eastAsia="Times New Roman" w:cstheme="minorHAnsi"/>
          <w:lang w:eastAsia="en-GB"/>
        </w:rPr>
        <w:t xml:space="preserve">2 leaflets, funded by DfE, to support young people with SEND and their families to have conversations with schools about </w:t>
      </w:r>
      <w:hyperlink r:id="rId18" w:history="1">
        <w:r w:rsidRPr="00A95572">
          <w:rPr>
            <w:rStyle w:val="Hyperlink"/>
            <w:rFonts w:eastAsia="Times New Roman" w:cstheme="minorHAnsi"/>
            <w:lang w:eastAsia="en-GB"/>
          </w:rPr>
          <w:t>successful returns following a period of absence</w:t>
        </w:r>
      </w:hyperlink>
      <w:r w:rsidRPr="00D35A94">
        <w:rPr>
          <w:rFonts w:eastAsia="Times New Roman" w:cstheme="minorHAnsi"/>
          <w:lang w:eastAsia="en-GB"/>
        </w:rPr>
        <w:t xml:space="preserve"> and about </w:t>
      </w:r>
      <w:hyperlink r:id="rId19" w:history="1">
        <w:r w:rsidRPr="00A95572">
          <w:rPr>
            <w:rStyle w:val="Hyperlink"/>
            <w:rFonts w:eastAsia="Times New Roman" w:cstheme="minorHAnsi"/>
            <w:lang w:eastAsia="en-GB"/>
          </w:rPr>
          <w:t xml:space="preserve">transition planning for post-year 11 destinations. </w:t>
        </w:r>
      </w:hyperlink>
      <w:r w:rsidRPr="00D35A94">
        <w:rPr>
          <w:rFonts w:eastAsia="Times New Roman" w:cstheme="minorHAnsi"/>
          <w:color w:val="0000FF"/>
          <w:u w:val="single"/>
          <w:lang w:eastAsia="en-GB"/>
        </w:rPr>
        <w:t xml:space="preserve"> </w:t>
      </w:r>
      <w:r w:rsidRPr="00D35A94">
        <w:rPr>
          <w:rFonts w:eastAsia="Times New Roman" w:cstheme="minorHAnsi"/>
          <w:lang w:eastAsia="en-GB"/>
        </w:rPr>
        <w:t xml:space="preserve">They have also produced a </w:t>
      </w:r>
      <w:hyperlink r:id="rId20" w:history="1">
        <w:r w:rsidRPr="00D35A94">
          <w:rPr>
            <w:rFonts w:eastAsia="Times New Roman" w:cstheme="minorHAnsi"/>
            <w:color w:val="0000FF"/>
            <w:u w:val="single"/>
            <w:lang w:eastAsia="en-GB"/>
          </w:rPr>
          <w:t>handbook</w:t>
        </w:r>
      </w:hyperlink>
      <w:r w:rsidRPr="00D35A94">
        <w:rPr>
          <w:rFonts w:eastAsia="Times New Roman" w:cstheme="minorHAnsi"/>
          <w:lang w:eastAsia="en-GB"/>
        </w:rPr>
        <w:t xml:space="preserve"> to support teachers to take a whole school approach to supporting pupils following a traumatic event.</w:t>
      </w:r>
    </w:p>
    <w:p w14:paraId="460EBD7E" w14:textId="2399EE25" w:rsidR="00B57B13" w:rsidRPr="00B57B13" w:rsidRDefault="00B57B13" w:rsidP="00D35A94">
      <w:pPr>
        <w:numPr>
          <w:ilvl w:val="0"/>
          <w:numId w:val="27"/>
        </w:numPr>
        <w:spacing w:after="0" w:line="240" w:lineRule="auto"/>
        <w:rPr>
          <w:rFonts w:eastAsia="Times New Roman" w:cstheme="minorHAnsi"/>
          <w:lang w:eastAsia="en-GB"/>
        </w:rPr>
      </w:pPr>
      <w:r>
        <w:rPr>
          <w:rFonts w:eastAsia="Times New Roman" w:cstheme="minorHAnsi"/>
          <w:color w:val="0B0C0C"/>
          <w:lang w:eastAsia="en-GB"/>
        </w:rPr>
        <w:lastRenderedPageBreak/>
        <w:t>the</w:t>
      </w:r>
      <w:r w:rsidRPr="00D35A94">
        <w:rPr>
          <w:rFonts w:eastAsia="Times New Roman" w:cstheme="minorHAnsi"/>
          <w:color w:val="0B0C0C"/>
          <w:lang w:eastAsia="en-GB"/>
        </w:rPr>
        <w:t xml:space="preserve"> </w:t>
      </w:r>
      <w:hyperlink r:id="rId21" w:history="1">
        <w:proofErr w:type="spellStart"/>
        <w:r w:rsidRPr="00B57B13">
          <w:rPr>
            <w:rStyle w:val="Hyperlink"/>
            <w:rFonts w:eastAsia="Times New Roman" w:cstheme="minorHAnsi"/>
            <w:lang w:eastAsia="en-GB"/>
          </w:rPr>
          <w:t>MindEd</w:t>
        </w:r>
        <w:proofErr w:type="spellEnd"/>
        <w:r w:rsidRPr="00B57B13">
          <w:rPr>
            <w:rStyle w:val="Hyperlink"/>
            <w:rFonts w:eastAsia="Times New Roman" w:cstheme="minorHAnsi"/>
            <w:lang w:eastAsia="en-GB"/>
          </w:rPr>
          <w:t xml:space="preserve"> learning platform</w:t>
        </w:r>
      </w:hyperlink>
      <w:r w:rsidRPr="00D35A94">
        <w:rPr>
          <w:rFonts w:eastAsia="Times New Roman" w:cstheme="minorHAnsi"/>
          <w:color w:val="0B0C0C"/>
          <w:lang w:eastAsia="en-GB"/>
        </w:rPr>
        <w:t xml:space="preserve"> </w:t>
      </w:r>
      <w:r>
        <w:rPr>
          <w:rFonts w:eastAsia="Times New Roman" w:cstheme="minorHAnsi"/>
          <w:color w:val="0B0C0C"/>
          <w:lang w:eastAsia="en-GB"/>
        </w:rPr>
        <w:t xml:space="preserve">and </w:t>
      </w:r>
      <w:hyperlink r:id="rId22" w:history="1">
        <w:r w:rsidRPr="00B57B13">
          <w:rPr>
            <w:rStyle w:val="Hyperlink"/>
            <w:rFonts w:eastAsia="Times New Roman" w:cstheme="minorHAnsi"/>
            <w:lang w:eastAsia="en-GB"/>
          </w:rPr>
          <w:t>staff resilience hub</w:t>
        </w:r>
      </w:hyperlink>
      <w:r>
        <w:rPr>
          <w:rFonts w:eastAsia="Times New Roman" w:cstheme="minorHAnsi"/>
          <w:color w:val="0B0C0C"/>
          <w:lang w:eastAsia="en-GB"/>
        </w:rPr>
        <w:t xml:space="preserve"> </w:t>
      </w:r>
      <w:r w:rsidRPr="00D35A94">
        <w:rPr>
          <w:rFonts w:eastAsia="Times New Roman" w:cstheme="minorHAnsi"/>
          <w:color w:val="0B0C0C"/>
          <w:lang w:eastAsia="en-GB"/>
        </w:rPr>
        <w:t>for useful materials</w:t>
      </w:r>
      <w:r>
        <w:rPr>
          <w:rFonts w:eastAsia="Times New Roman" w:cstheme="minorHAnsi"/>
          <w:color w:val="0B0C0C"/>
          <w:lang w:eastAsia="en-GB"/>
        </w:rPr>
        <w:t xml:space="preserve"> for teachers and </w:t>
      </w:r>
      <w:proofErr w:type="gramStart"/>
      <w:r>
        <w:rPr>
          <w:rFonts w:eastAsia="Times New Roman" w:cstheme="minorHAnsi"/>
          <w:color w:val="0B0C0C"/>
          <w:lang w:eastAsia="en-GB"/>
        </w:rPr>
        <w:t>front line</w:t>
      </w:r>
      <w:proofErr w:type="gramEnd"/>
      <w:r>
        <w:rPr>
          <w:rFonts w:eastAsia="Times New Roman" w:cstheme="minorHAnsi"/>
          <w:color w:val="0B0C0C"/>
          <w:lang w:eastAsia="en-GB"/>
        </w:rPr>
        <w:t xml:space="preserve"> staff</w:t>
      </w:r>
    </w:p>
    <w:p w14:paraId="11A53A52" w14:textId="3BCC1B56" w:rsidR="00D35A94" w:rsidRPr="00D35A94" w:rsidRDefault="00D35A94" w:rsidP="00EB387E">
      <w:pPr>
        <w:spacing w:before="300" w:after="300" w:line="240" w:lineRule="auto"/>
        <w:rPr>
          <w:rFonts w:eastAsia="Times New Roman" w:cstheme="minorHAnsi"/>
          <w:color w:val="0B0C0C"/>
          <w:lang w:eastAsia="en-GB"/>
        </w:rPr>
      </w:pPr>
      <w:r w:rsidRPr="00D35A94">
        <w:rPr>
          <w:rFonts w:eastAsia="Times New Roman" w:cstheme="minorHAnsi"/>
          <w:color w:val="0B0C0C"/>
          <w:lang w:eastAsia="en-GB"/>
        </w:rPr>
        <w:t xml:space="preserve">The Department for Education has also published </w:t>
      </w:r>
      <w:hyperlink r:id="rId23" w:history="1">
        <w:r w:rsidRPr="00A95572">
          <w:rPr>
            <w:rStyle w:val="Hyperlink"/>
            <w:rFonts w:eastAsia="Times New Roman" w:cstheme="minorHAnsi"/>
            <w:lang w:eastAsia="en-GB"/>
          </w:rPr>
          <w:t>relationship, sex and health education training modules</w:t>
        </w:r>
      </w:hyperlink>
      <w:r w:rsidRPr="00D35A94">
        <w:rPr>
          <w:rFonts w:eastAsia="Times New Roman" w:cstheme="minorHAnsi"/>
          <w:color w:val="0B0C0C"/>
          <w:lang w:eastAsia="en-GB"/>
        </w:rPr>
        <w:t xml:space="preserve"> for teachers to support them in delivering the required content on mental health and wellbeing (found </w:t>
      </w:r>
      <w:hyperlink r:id="rId24" w:history="1">
        <w:r w:rsidRPr="00D35A94">
          <w:rPr>
            <w:rFonts w:eastAsia="Times New Roman" w:cstheme="minorHAnsi"/>
            <w:color w:val="0000FF"/>
            <w:u w:val="single"/>
            <w:lang w:eastAsia="en-GB"/>
          </w:rPr>
          <w:t>here</w:t>
        </w:r>
      </w:hyperlink>
      <w:r w:rsidRPr="00D35A94">
        <w:rPr>
          <w:rFonts w:eastAsia="Times New Roman" w:cstheme="minorHAnsi"/>
          <w:color w:val="0B0C0C"/>
          <w:lang w:eastAsia="en-GB"/>
        </w:rPr>
        <w:t xml:space="preserve">).  </w:t>
      </w:r>
      <w:r w:rsidR="00A35854">
        <w:rPr>
          <w:rFonts w:eastAsia="Times New Roman" w:cstheme="minorHAnsi"/>
          <w:color w:val="0B0C0C"/>
          <w:lang w:eastAsia="en-GB"/>
        </w:rPr>
        <w:t xml:space="preserve">The school’s Relationship, Sex and Health education content can be prioritised this academic year to support emerging pupil needs. </w:t>
      </w:r>
    </w:p>
    <w:p w14:paraId="0ABB1710" w14:textId="4C656C31" w:rsidR="00D35A94" w:rsidRPr="00D35A94" w:rsidRDefault="00D35A94" w:rsidP="00D35A94">
      <w:pPr>
        <w:spacing w:after="0" w:line="240" w:lineRule="auto"/>
        <w:rPr>
          <w:rFonts w:eastAsia="Times New Roman" w:cstheme="minorHAnsi"/>
          <w:color w:val="0B0C0C"/>
          <w:lang w:eastAsia="en-GB"/>
        </w:rPr>
      </w:pPr>
      <w:r w:rsidRPr="00D35A94">
        <w:rPr>
          <w:rFonts w:eastAsia="Times New Roman" w:cstheme="minorHAnsi"/>
          <w:color w:val="0B0C0C"/>
          <w:lang w:eastAsia="en-GB"/>
        </w:rPr>
        <w:t xml:space="preserve">If parents/carers have any specific concerns about the mental health and wellbeing of children which they would like to discuss further, they can also contact the school </w:t>
      </w:r>
      <w:r w:rsidRPr="004F6300">
        <w:rPr>
          <w:rFonts w:eastAsia="Times New Roman" w:cstheme="minorHAnsi"/>
          <w:color w:val="0B0C0C"/>
          <w:lang w:eastAsia="en-GB"/>
        </w:rPr>
        <w:t>SENCO (</w:t>
      </w:r>
      <w:r w:rsidR="004F6300" w:rsidRPr="004F6300">
        <w:rPr>
          <w:rFonts w:eastAsia="Times New Roman" w:cstheme="minorHAnsi"/>
          <w:color w:val="0B0C0C"/>
          <w:lang w:eastAsia="en-GB"/>
        </w:rPr>
        <w:t>Sarah Sankey</w:t>
      </w:r>
      <w:r w:rsidRPr="004F6300">
        <w:rPr>
          <w:rFonts w:eastAsia="Times New Roman" w:cstheme="minorHAnsi"/>
          <w:color w:val="0B0C0C"/>
          <w:lang w:eastAsia="en-GB"/>
        </w:rPr>
        <w:t>) or</w:t>
      </w:r>
      <w:r w:rsidRPr="00D35A94">
        <w:rPr>
          <w:rFonts w:eastAsia="Times New Roman" w:cstheme="minorHAnsi"/>
          <w:color w:val="0B0C0C"/>
          <w:lang w:eastAsia="en-GB"/>
        </w:rPr>
        <w:t xml:space="preserve"> Designated Safeguarding </w:t>
      </w:r>
      <w:r w:rsidRPr="004F6300">
        <w:rPr>
          <w:rFonts w:eastAsia="Times New Roman" w:cstheme="minorHAnsi"/>
          <w:color w:val="0B0C0C"/>
          <w:lang w:eastAsia="en-GB"/>
        </w:rPr>
        <w:t>Lead (</w:t>
      </w:r>
      <w:r w:rsidR="004F6300" w:rsidRPr="004F6300">
        <w:rPr>
          <w:rFonts w:eastAsia="Times New Roman" w:cstheme="minorHAnsi"/>
          <w:color w:val="0B0C0C"/>
          <w:lang w:eastAsia="en-GB"/>
        </w:rPr>
        <w:t>Megan Williams</w:t>
      </w:r>
      <w:r w:rsidRPr="004F6300">
        <w:rPr>
          <w:rFonts w:eastAsia="Times New Roman" w:cstheme="minorHAnsi"/>
          <w:color w:val="0B0C0C"/>
          <w:lang w:eastAsia="en-GB"/>
        </w:rPr>
        <w:t>)via</w:t>
      </w:r>
      <w:r w:rsidRPr="00D35A94">
        <w:rPr>
          <w:rFonts w:eastAsia="Times New Roman" w:cstheme="minorHAnsi"/>
          <w:color w:val="0B0C0C"/>
          <w:lang w:eastAsia="en-GB"/>
        </w:rPr>
        <w:t xml:space="preserve"> telephoning the school directly or by emailing </w:t>
      </w:r>
      <w:hyperlink r:id="rId25" w:history="1">
        <w:r w:rsidR="004F6300" w:rsidRPr="00824951">
          <w:rPr>
            <w:rStyle w:val="Hyperlink"/>
            <w:rFonts w:eastAsia="Times New Roman" w:cstheme="minorHAnsi"/>
            <w:lang w:eastAsia="en-GB"/>
          </w:rPr>
          <w:t>safeguarding@astreahighgateacademy.org</w:t>
        </w:r>
      </w:hyperlink>
      <w:r w:rsidRPr="00D35A94">
        <w:rPr>
          <w:rFonts w:eastAsia="Times New Roman" w:cstheme="minorHAnsi"/>
          <w:color w:val="0B0C0C"/>
          <w:lang w:eastAsia="en-GB"/>
        </w:rPr>
        <w:t xml:space="preserve"> </w:t>
      </w:r>
    </w:p>
    <w:p w14:paraId="4F2D5595" w14:textId="4ADAB07B" w:rsidR="00D762F8" w:rsidRDefault="00D762F8" w:rsidP="002D5F8D">
      <w:pPr>
        <w:rPr>
          <w:b/>
          <w:color w:val="44546A" w:themeColor="text2"/>
          <w:sz w:val="24"/>
          <w:szCs w:val="24"/>
        </w:rPr>
      </w:pPr>
    </w:p>
    <w:p w14:paraId="22F5FE19" w14:textId="530D48AE" w:rsidR="002D5F8D" w:rsidRPr="001F03E0" w:rsidRDefault="00E37FFE" w:rsidP="002D5F8D">
      <w:pPr>
        <w:rPr>
          <w:b/>
          <w:color w:val="44546A" w:themeColor="text2"/>
          <w:sz w:val="24"/>
          <w:szCs w:val="24"/>
        </w:rPr>
      </w:pPr>
      <w:r>
        <w:rPr>
          <w:b/>
          <w:color w:val="44546A" w:themeColor="text2"/>
          <w:sz w:val="24"/>
          <w:szCs w:val="24"/>
        </w:rPr>
        <w:t>5</w:t>
      </w:r>
      <w:r w:rsidR="001F03E0" w:rsidRPr="001F03E0">
        <w:rPr>
          <w:b/>
          <w:color w:val="44546A" w:themeColor="text2"/>
          <w:sz w:val="24"/>
          <w:szCs w:val="24"/>
        </w:rPr>
        <w:t xml:space="preserve">. </w:t>
      </w:r>
      <w:r w:rsidR="00925EF2">
        <w:rPr>
          <w:b/>
          <w:color w:val="44546A" w:themeColor="text2"/>
          <w:sz w:val="24"/>
          <w:szCs w:val="24"/>
        </w:rPr>
        <w:t>S</w:t>
      </w:r>
      <w:r w:rsidR="002D5F8D" w:rsidRPr="001F03E0">
        <w:rPr>
          <w:b/>
          <w:color w:val="44546A" w:themeColor="text2"/>
          <w:sz w:val="24"/>
          <w:szCs w:val="24"/>
        </w:rPr>
        <w:t xml:space="preserve">upporting </w:t>
      </w:r>
      <w:r w:rsidR="0051443B">
        <w:rPr>
          <w:b/>
          <w:color w:val="44546A" w:themeColor="text2"/>
          <w:sz w:val="24"/>
          <w:szCs w:val="24"/>
        </w:rPr>
        <w:t>V</w:t>
      </w:r>
      <w:r w:rsidR="000675FC">
        <w:rPr>
          <w:b/>
          <w:color w:val="44546A" w:themeColor="text2"/>
          <w:sz w:val="24"/>
          <w:szCs w:val="24"/>
        </w:rPr>
        <w:t xml:space="preserve">ulnerable </w:t>
      </w:r>
      <w:r w:rsidR="0003244D">
        <w:rPr>
          <w:b/>
          <w:color w:val="44546A" w:themeColor="text2"/>
          <w:sz w:val="24"/>
          <w:szCs w:val="24"/>
        </w:rPr>
        <w:t>Pupil</w:t>
      </w:r>
      <w:r w:rsidR="000017ED">
        <w:rPr>
          <w:b/>
          <w:color w:val="44546A" w:themeColor="text2"/>
          <w:sz w:val="24"/>
          <w:szCs w:val="24"/>
        </w:rPr>
        <w:t xml:space="preserve"> in </w:t>
      </w:r>
      <w:r w:rsidR="0051443B">
        <w:rPr>
          <w:b/>
          <w:color w:val="44546A" w:themeColor="text2"/>
          <w:sz w:val="24"/>
          <w:szCs w:val="24"/>
        </w:rPr>
        <w:t>S</w:t>
      </w:r>
      <w:r w:rsidR="000017ED">
        <w:rPr>
          <w:b/>
          <w:color w:val="44546A" w:themeColor="text2"/>
          <w:sz w:val="24"/>
          <w:szCs w:val="24"/>
        </w:rPr>
        <w:t>chool and</w:t>
      </w:r>
      <w:r w:rsidR="00925EF2">
        <w:rPr>
          <w:b/>
          <w:color w:val="44546A" w:themeColor="text2"/>
          <w:sz w:val="24"/>
          <w:szCs w:val="24"/>
        </w:rPr>
        <w:t>/or</w:t>
      </w:r>
      <w:r w:rsidR="000017ED">
        <w:rPr>
          <w:b/>
          <w:color w:val="44546A" w:themeColor="text2"/>
          <w:sz w:val="24"/>
          <w:szCs w:val="24"/>
        </w:rPr>
        <w:t xml:space="preserve"> at </w:t>
      </w:r>
      <w:r w:rsidR="0051443B">
        <w:rPr>
          <w:b/>
          <w:color w:val="44546A" w:themeColor="text2"/>
          <w:sz w:val="24"/>
          <w:szCs w:val="24"/>
        </w:rPr>
        <w:t>H</w:t>
      </w:r>
      <w:r w:rsidR="000017ED">
        <w:rPr>
          <w:b/>
          <w:color w:val="44546A" w:themeColor="text2"/>
          <w:sz w:val="24"/>
          <w:szCs w:val="24"/>
        </w:rPr>
        <w:t>ome</w:t>
      </w:r>
      <w:r w:rsidR="002D5F8D" w:rsidRPr="001F03E0">
        <w:rPr>
          <w:b/>
          <w:color w:val="44546A" w:themeColor="text2"/>
          <w:sz w:val="24"/>
          <w:szCs w:val="24"/>
        </w:rPr>
        <w:t xml:space="preserve"> </w:t>
      </w:r>
    </w:p>
    <w:p w14:paraId="7C6DBA4B" w14:textId="20040A4F" w:rsidR="000B0D0F" w:rsidRDefault="00177269" w:rsidP="00E05AD7">
      <w:r w:rsidRPr="00016668">
        <w:rPr>
          <w:b/>
        </w:rPr>
        <w:t xml:space="preserve">From </w:t>
      </w:r>
      <w:r w:rsidR="006A0BB5">
        <w:rPr>
          <w:b/>
        </w:rPr>
        <w:t>8 March 2021</w:t>
      </w:r>
      <w:r w:rsidRPr="00016668">
        <w:rPr>
          <w:b/>
        </w:rPr>
        <w:t>, all pupils, including those with SEND, are expected to attend school unless they are following specific clinical and/or public health advice</w:t>
      </w:r>
      <w:r w:rsidR="006A038E">
        <w:rPr>
          <w:b/>
        </w:rPr>
        <w:t xml:space="preserve"> not to attend</w:t>
      </w:r>
      <w:r w:rsidRPr="00016668">
        <w:rPr>
          <w:b/>
        </w:rPr>
        <w:t>.</w:t>
      </w:r>
      <w:r>
        <w:t xml:space="preserve"> </w:t>
      </w:r>
      <w:r w:rsidR="006A0BB5">
        <w:t>There</w:t>
      </w:r>
      <w:r w:rsidR="000B0D0F">
        <w:t xml:space="preserve"> may </w:t>
      </w:r>
      <w:r w:rsidR="00016668">
        <w:t xml:space="preserve">also </w:t>
      </w:r>
      <w:r w:rsidR="000B0D0F">
        <w:t xml:space="preserve">be a </w:t>
      </w:r>
      <w:r w:rsidR="000B0D0F" w:rsidRPr="000B0D0F">
        <w:t>st</w:t>
      </w:r>
      <w:r w:rsidR="006A0BB5">
        <w:t>atutory reason why pupils need</w:t>
      </w:r>
      <w:r w:rsidR="000B0D0F">
        <w:t xml:space="preserve"> to access</w:t>
      </w:r>
      <w:r w:rsidR="000B0D0F" w:rsidRPr="000B0D0F">
        <w:t xml:space="preserve"> </w:t>
      </w:r>
      <w:r w:rsidR="00016668">
        <w:t xml:space="preserve">immediate </w:t>
      </w:r>
      <w:r w:rsidR="000B0D0F" w:rsidRPr="000B0D0F">
        <w:t>remote education from home (</w:t>
      </w:r>
      <w:proofErr w:type="gramStart"/>
      <w:r w:rsidR="000B0D0F" w:rsidRPr="000B0D0F">
        <w:t>e</w:t>
      </w:r>
      <w:r w:rsidR="00F5478D">
        <w:t>.</w:t>
      </w:r>
      <w:r w:rsidR="000B0D0F" w:rsidRPr="000B0D0F">
        <w:t>g.</w:t>
      </w:r>
      <w:proofErr w:type="gramEnd"/>
      <w:r w:rsidR="000B0D0F" w:rsidRPr="000B0D0F">
        <w:t xml:space="preserve"> </w:t>
      </w:r>
      <w:r w:rsidR="006A038E">
        <w:t xml:space="preserve">advised </w:t>
      </w:r>
      <w:r w:rsidR="000B0D0F" w:rsidRPr="000B0D0F">
        <w:t xml:space="preserve">shielding, national or local / setting lockdown, </w:t>
      </w:r>
      <w:r w:rsidR="006A038E">
        <w:t xml:space="preserve">advised </w:t>
      </w:r>
      <w:r w:rsidR="000B0D0F" w:rsidRPr="000B0D0F">
        <w:t>self-isolating)</w:t>
      </w:r>
      <w:r w:rsidR="00F5478D">
        <w:t>.</w:t>
      </w:r>
      <w:r w:rsidR="00134FBE">
        <w:t xml:space="preserve">  The school will try to offer pastoral support remotely to pupils that </w:t>
      </w:r>
      <w:r w:rsidR="00A95572">
        <w:t>are required</w:t>
      </w:r>
      <w:r w:rsidR="00134FBE">
        <w:t xml:space="preserve"> to access remote education.</w:t>
      </w:r>
    </w:p>
    <w:p w14:paraId="43C0CA74" w14:textId="0BB20032" w:rsidR="00E35035" w:rsidRPr="00E35035" w:rsidRDefault="00163EAF" w:rsidP="00E35035">
      <w:pPr>
        <w:spacing w:after="0" w:line="240" w:lineRule="auto"/>
      </w:pPr>
      <w:r>
        <w:t>The</w:t>
      </w:r>
      <w:r w:rsidR="00FF3A67">
        <w:t xml:space="preserve"> school</w:t>
      </w:r>
      <w:r w:rsidR="00E35035" w:rsidRPr="00E35035">
        <w:t xml:space="preserve"> will follow government guidance in relation to </w:t>
      </w:r>
      <w:r w:rsidR="00E35035" w:rsidRPr="00E35035">
        <w:rPr>
          <w:b/>
        </w:rPr>
        <w:t>curriculum expectations, behaviour and pastoral support</w:t>
      </w:r>
      <w:r w:rsidR="00E35035" w:rsidRPr="00E35035">
        <w:t xml:space="preserve"> (found </w:t>
      </w:r>
      <w:hyperlink r:id="rId26" w:anchor="section-3-curriculum-behaviour-and-pastoral-support" w:history="1">
        <w:r w:rsidR="00E35035" w:rsidRPr="00E35035">
          <w:rPr>
            <w:rStyle w:val="Hyperlink"/>
          </w:rPr>
          <w:t>here</w:t>
        </w:r>
      </w:hyperlink>
      <w:r w:rsidR="00E35035" w:rsidRPr="00E35035">
        <w:t>).  The key principals that underpin this are:</w:t>
      </w:r>
    </w:p>
    <w:p w14:paraId="5623AFA9" w14:textId="14F23B60" w:rsidR="00E35035" w:rsidRPr="00E35035" w:rsidRDefault="00E35035" w:rsidP="00163EAF">
      <w:pPr>
        <w:numPr>
          <w:ilvl w:val="0"/>
          <w:numId w:val="24"/>
        </w:numPr>
        <w:spacing w:after="0" w:line="240" w:lineRule="auto"/>
      </w:pPr>
      <w:r w:rsidRPr="00E35035">
        <w:t xml:space="preserve">education is not optional: </w:t>
      </w:r>
      <w:r w:rsidR="00163EAF" w:rsidRPr="00163EAF">
        <w:t>All pupils receive a high-quality education that promotes their development and equips them with the knowledge and cultural capit</w:t>
      </w:r>
      <w:r w:rsidR="00163EAF">
        <w:t xml:space="preserve">al they need to succeed in </w:t>
      </w:r>
      <w:proofErr w:type="gramStart"/>
      <w:r w:rsidR="00163EAF">
        <w:t>life;</w:t>
      </w:r>
      <w:proofErr w:type="gramEnd"/>
    </w:p>
    <w:p w14:paraId="04CCA38B" w14:textId="57CAD367" w:rsidR="00E35035" w:rsidRDefault="00E35035" w:rsidP="00163EAF">
      <w:pPr>
        <w:numPr>
          <w:ilvl w:val="0"/>
          <w:numId w:val="24"/>
        </w:numPr>
        <w:spacing w:after="0" w:line="240" w:lineRule="auto"/>
      </w:pPr>
      <w:r w:rsidRPr="00E35035">
        <w:t xml:space="preserve">the curriculum remains broad and ambitious: </w:t>
      </w:r>
      <w:r w:rsidR="00163EAF" w:rsidRPr="00163EAF">
        <w:t>All pupils continue to be taught a wide range of subjects, maintaining their choices for further study and employment.</w:t>
      </w:r>
      <w:r w:rsidR="00163EAF">
        <w:t xml:space="preserve"> </w:t>
      </w:r>
    </w:p>
    <w:p w14:paraId="1B1CFA4D" w14:textId="77777777" w:rsidR="00163EAF" w:rsidRDefault="00163EAF" w:rsidP="00163EAF">
      <w:pPr>
        <w:spacing w:after="0" w:line="240" w:lineRule="auto"/>
        <w:ind w:left="720"/>
      </w:pPr>
    </w:p>
    <w:p w14:paraId="276384D9" w14:textId="31917410" w:rsidR="00163EAF" w:rsidRDefault="00163EAF" w:rsidP="00A35854">
      <w:pPr>
        <w:spacing w:after="0" w:line="240" w:lineRule="auto"/>
      </w:pPr>
      <w:r w:rsidRPr="00163EAF">
        <w:t xml:space="preserve">Informed by these principles, </w:t>
      </w:r>
      <w:r>
        <w:t>we aim to</w:t>
      </w:r>
      <w:r w:rsidR="00A35854">
        <w:t xml:space="preserve"> t</w:t>
      </w:r>
      <w:r w:rsidRPr="00163EAF">
        <w:t>each an ambitious and b</w:t>
      </w:r>
      <w:r>
        <w:t>road curriculum in all subjects</w:t>
      </w:r>
      <w:r w:rsidR="00A35854">
        <w:t xml:space="preserve">. </w:t>
      </w:r>
      <w:r w:rsidRPr="00163EAF">
        <w:t xml:space="preserve"> Where a</w:t>
      </w:r>
      <w:r>
        <w:t>ppropriate, teaching time will</w:t>
      </w:r>
      <w:r w:rsidRPr="00163EAF">
        <w:t xml:space="preserve"> be prioritised to address the most significant gaps in pupils’ kn</w:t>
      </w:r>
      <w:r>
        <w:t>owledge. C</w:t>
      </w:r>
      <w:r w:rsidRPr="00163EAF">
        <w:t xml:space="preserve">urriculum planning </w:t>
      </w:r>
      <w:r>
        <w:t>should be</w:t>
      </w:r>
      <w:r w:rsidRPr="00163EAF">
        <w:t xml:space="preserve"> informed both by an assessment of pupils’ starting points and gaps in their knowledge, and an understanding of what is the most critical content for progression. To achieve this, </w:t>
      </w:r>
      <w:r>
        <w:t>the school may need to make</w:t>
      </w:r>
      <w:r w:rsidRPr="00163EAF">
        <w:t xml:space="preserve"> modifications to</w:t>
      </w:r>
      <w:r>
        <w:t xml:space="preserve"> the</w:t>
      </w:r>
      <w:r w:rsidRPr="00163EAF">
        <w:t xml:space="preserve"> curriculum</w:t>
      </w:r>
      <w:r>
        <w:t xml:space="preserve"> </w:t>
      </w:r>
      <w:r w:rsidRPr="00163EAF">
        <w:t>to create time to cover the most important content in which pupils are not yet secure.</w:t>
      </w:r>
    </w:p>
    <w:p w14:paraId="7DA5B00D" w14:textId="77777777" w:rsidR="00163EAF" w:rsidRDefault="00163EAF" w:rsidP="00163EAF">
      <w:pPr>
        <w:pStyle w:val="ListParagraph"/>
        <w:spacing w:after="0" w:line="240" w:lineRule="auto"/>
      </w:pPr>
    </w:p>
    <w:p w14:paraId="332EBECB" w14:textId="3463B603" w:rsidR="00163EAF" w:rsidRDefault="00163EAF" w:rsidP="00A35854">
      <w:pPr>
        <w:spacing w:after="0" w:line="240" w:lineRule="auto"/>
      </w:pPr>
      <w:r>
        <w:t>The school may consider</w:t>
      </w:r>
      <w:r w:rsidRPr="00163EAF">
        <w:t xml:space="preserve"> suspend</w:t>
      </w:r>
      <w:r>
        <w:t>ing</w:t>
      </w:r>
      <w:r w:rsidRPr="00163EAF">
        <w:t xml:space="preserve"> some subjects for some pupils in exceptional circums</w:t>
      </w:r>
      <w:r w:rsidR="00A0717C">
        <w:t xml:space="preserve">tances </w:t>
      </w:r>
      <w:r w:rsidRPr="00163EAF">
        <w:t>prioritisation within subjects of the most important components for progression is likely to be more effective than removing subjects, which may deprive pupils of the knowledge and cultural capital they</w:t>
      </w:r>
      <w:r>
        <w:t xml:space="preserve"> need to succeed in life. If a decision is made</w:t>
      </w:r>
      <w:r w:rsidRPr="00163EAF">
        <w:t xml:space="preserve"> to suspend some subjects for some pupils (where the subject is not one that is statutorily mandated) this </w:t>
      </w:r>
      <w:r>
        <w:t>will be in the best interests of the pupil and</w:t>
      </w:r>
      <w:r w:rsidRPr="00163EAF">
        <w:t xml:space="preserve"> should be subject to </w:t>
      </w:r>
      <w:r w:rsidR="00A35854">
        <w:t>discussion with parents/carers.</w:t>
      </w:r>
    </w:p>
    <w:p w14:paraId="75895E29" w14:textId="61CE6E7F" w:rsidR="00163EAF" w:rsidRDefault="00163EAF" w:rsidP="00163EAF">
      <w:pPr>
        <w:spacing w:after="0" w:line="240" w:lineRule="auto"/>
      </w:pPr>
    </w:p>
    <w:p w14:paraId="55EC4840" w14:textId="2792EF80" w:rsidR="00812A24" w:rsidRDefault="00E35035" w:rsidP="00E35035">
      <w:pPr>
        <w:spacing w:after="0"/>
      </w:pPr>
      <w:r>
        <w:t xml:space="preserve">The use of </w:t>
      </w:r>
      <w:r w:rsidRPr="00E35035">
        <w:rPr>
          <w:b/>
        </w:rPr>
        <w:t>outdoor learning</w:t>
      </w:r>
      <w:r w:rsidR="00812A24">
        <w:t xml:space="preserve"> may</w:t>
      </w:r>
      <w:r w:rsidR="00AB679C">
        <w:t xml:space="preserve"> be utilised to support the delivery of the </w:t>
      </w:r>
      <w:r w:rsidR="00812A24">
        <w:t>curriculum</w:t>
      </w:r>
      <w:r w:rsidR="00067F06">
        <w:t xml:space="preserve"> and protective measures will be taken to </w:t>
      </w:r>
      <w:r w:rsidR="00A95572">
        <w:t>facilitate</w:t>
      </w:r>
      <w:r w:rsidR="00067F06">
        <w:t xml:space="preserve"> this</w:t>
      </w:r>
      <w:r w:rsidR="00AB679C">
        <w:t xml:space="preserve">. </w:t>
      </w:r>
      <w:r w:rsidR="00812A24">
        <w:t xml:space="preserve">From </w:t>
      </w:r>
      <w:r w:rsidR="00134FBE">
        <w:t>8 March 2021,</w:t>
      </w:r>
      <w:r w:rsidR="00812A24">
        <w:t xml:space="preserve"> </w:t>
      </w:r>
      <w:r w:rsidR="00134FBE">
        <w:t>schools</w:t>
      </w:r>
      <w:r w:rsidR="00812A24">
        <w:t xml:space="preserve"> </w:t>
      </w:r>
      <w:r w:rsidR="00134FBE">
        <w:t>are</w:t>
      </w:r>
      <w:r w:rsidR="00812A24">
        <w:t xml:space="preserve"> also </w:t>
      </w:r>
      <w:r w:rsidR="00134FBE">
        <w:t xml:space="preserve">able to </w:t>
      </w:r>
      <w:r w:rsidR="00812A24">
        <w:t>consider an extra-curricular offer</w:t>
      </w:r>
      <w:r w:rsidR="00850979">
        <w:t xml:space="preserve"> </w:t>
      </w:r>
      <w:r w:rsidR="00812A24">
        <w:t xml:space="preserve">in line with </w:t>
      </w:r>
      <w:hyperlink r:id="rId27" w:anchor="wraparound-provision-and-extra-curricular-activity" w:history="1">
        <w:r w:rsidR="00812A24" w:rsidRPr="00812A24">
          <w:rPr>
            <w:rStyle w:val="Hyperlink"/>
          </w:rPr>
          <w:t>guidance.</w:t>
        </w:r>
      </w:hyperlink>
    </w:p>
    <w:p w14:paraId="41E628DA" w14:textId="77777777" w:rsidR="00500DF2" w:rsidRDefault="00500DF2" w:rsidP="00E35035">
      <w:pPr>
        <w:spacing w:after="0"/>
      </w:pPr>
    </w:p>
    <w:p w14:paraId="695A9A6F" w14:textId="0B8191D3" w:rsidR="00E35035" w:rsidRDefault="00500DF2" w:rsidP="00E35035">
      <w:pPr>
        <w:spacing w:after="0"/>
      </w:pPr>
      <w:r>
        <w:lastRenderedPageBreak/>
        <w:t xml:space="preserve">For vulnerable pupils (including those with more complex needs), the school will also explore the use of government packages (such as ‘catch-up support’ funding and the National Tutoring Programme) to assist in addressing any individual gaps in learning.  </w:t>
      </w:r>
    </w:p>
    <w:p w14:paraId="04C41409" w14:textId="08CCE39E" w:rsidR="00693984" w:rsidRDefault="00693984" w:rsidP="00E35035">
      <w:pPr>
        <w:spacing w:after="0"/>
      </w:pPr>
    </w:p>
    <w:p w14:paraId="493324D9" w14:textId="5DF7CCC1" w:rsidR="00E35035" w:rsidRPr="009E071C" w:rsidRDefault="00693984" w:rsidP="009E071C">
      <w:r>
        <w:t xml:space="preserve">For pupils with medical conditions, we will work with appropriate professionals to ensure they are supported and wherever possible, in receipt of an education in line with their peers.  </w:t>
      </w:r>
      <w:r w:rsidRPr="00693984">
        <w:t xml:space="preserve">In some cases, the pupil’s medical needs will mean this is not possible, and educational support will require flexibility. Further information is available in the guidance on </w:t>
      </w:r>
      <w:hyperlink r:id="rId28" w:history="1">
        <w:r w:rsidRPr="00693984">
          <w:rPr>
            <w:rStyle w:val="Hyperlink"/>
          </w:rPr>
          <w:t>supporting pupils at school with medical conditions</w:t>
        </w:r>
      </w:hyperlink>
      <w:r>
        <w:t xml:space="preserve"> and additional operational guidance for </w:t>
      </w:r>
      <w:hyperlink r:id="rId29" w:history="1">
        <w:r w:rsidRPr="00693984">
          <w:rPr>
            <w:rStyle w:val="Hyperlink"/>
          </w:rPr>
          <w:t>special schools, special post-16 institutions and alternative provision</w:t>
        </w:r>
      </w:hyperlink>
      <w:r>
        <w:t>.</w:t>
      </w:r>
    </w:p>
    <w:p w14:paraId="658BF103" w14:textId="77777777" w:rsidR="00930027" w:rsidRPr="00930027" w:rsidRDefault="00930027" w:rsidP="00930027">
      <w:pPr>
        <w:spacing w:after="0"/>
      </w:pPr>
    </w:p>
    <w:p w14:paraId="2C6E5FCF" w14:textId="12EF4492" w:rsidR="00E35035" w:rsidRPr="00305BF6" w:rsidRDefault="001D5A56" w:rsidP="00E35035">
      <w:pPr>
        <w:rPr>
          <w:b/>
          <w:color w:val="44546A" w:themeColor="text2"/>
        </w:rPr>
      </w:pPr>
      <w:r>
        <w:rPr>
          <w:b/>
          <w:color w:val="44546A" w:themeColor="text2"/>
        </w:rPr>
        <w:t>S</w:t>
      </w:r>
      <w:r w:rsidR="00E35035">
        <w:rPr>
          <w:b/>
          <w:color w:val="44546A" w:themeColor="text2"/>
        </w:rPr>
        <w:t>chool based learning</w:t>
      </w:r>
      <w:r w:rsidR="00D35A94">
        <w:rPr>
          <w:b/>
          <w:color w:val="44546A" w:themeColor="text2"/>
        </w:rPr>
        <w:t xml:space="preserve"> and protective measures</w:t>
      </w:r>
    </w:p>
    <w:p w14:paraId="3DF1B9F8" w14:textId="4ED5CA83" w:rsidR="00FE5476" w:rsidRDefault="00895DAE" w:rsidP="00895DAE">
      <w:pPr>
        <w:spacing w:after="0"/>
      </w:pPr>
      <w:r>
        <w:t xml:space="preserve">We know that particular care is needed to support pupils with SEND. </w:t>
      </w:r>
      <w:r w:rsidR="00211BF6" w:rsidRPr="00211BF6">
        <w:t>Some pupi</w:t>
      </w:r>
      <w:r w:rsidR="00211BF6">
        <w:t xml:space="preserve">ls with SEND (whether with EHCPs </w:t>
      </w:r>
      <w:r w:rsidR="00211BF6" w:rsidRPr="00211BF6">
        <w:t>or on SEN support) will need specific help</w:t>
      </w:r>
      <w:r w:rsidR="0003244D">
        <w:t xml:space="preserve">, reasonable </w:t>
      </w:r>
      <w:proofErr w:type="gramStart"/>
      <w:r w:rsidR="0003244D">
        <w:t>adjustments</w:t>
      </w:r>
      <w:proofErr w:type="gramEnd"/>
      <w:r w:rsidR="00211BF6" w:rsidRPr="00211BF6">
        <w:t xml:space="preserve"> and preparation for </w:t>
      </w:r>
      <w:r w:rsidR="00FE5476">
        <w:t>any</w:t>
      </w:r>
      <w:r w:rsidR="00211BF6" w:rsidRPr="00211BF6">
        <w:t xml:space="preserve"> changes to routine. Staff </w:t>
      </w:r>
      <w:r w:rsidR="00211BF6">
        <w:t xml:space="preserve">will </w:t>
      </w:r>
      <w:r w:rsidR="00211BF6" w:rsidRPr="00211BF6">
        <w:t>plan to meet these needs, for example using social stories.</w:t>
      </w:r>
      <w:r w:rsidR="00211BF6">
        <w:t xml:space="preserve">  </w:t>
      </w:r>
    </w:p>
    <w:p w14:paraId="10E6B832" w14:textId="77777777" w:rsidR="00FE5476" w:rsidRDefault="00FE5476" w:rsidP="00895DAE">
      <w:pPr>
        <w:spacing w:after="0"/>
      </w:pPr>
    </w:p>
    <w:p w14:paraId="6F20C46D" w14:textId="77777777" w:rsidR="00FE5476" w:rsidRPr="00FE5476" w:rsidRDefault="00895DAE" w:rsidP="00FE5476">
      <w:pPr>
        <w:spacing w:after="0"/>
      </w:pPr>
      <w:r>
        <w:t xml:space="preserve">Staffing needs will be considered as part of a collaborative, flexible approach - we will work with internal staff members, any relevant volunteers and appropriate external specialist staff to support pupils in school, ensuring that any relevant staff training required is in place.  </w:t>
      </w:r>
      <w:r w:rsidR="00FE5476" w:rsidRPr="00FE5476">
        <w:t xml:space="preserve">Measures will be taken to minimise the potential risks posed from external specialist visitors to school such as social distancing to allow any planned support to continue.  Specialists, therapists, </w:t>
      </w:r>
      <w:proofErr w:type="gramStart"/>
      <w:r w:rsidR="00FE5476" w:rsidRPr="00FE5476">
        <w:t>clinicians</w:t>
      </w:r>
      <w:proofErr w:type="gramEnd"/>
      <w:r w:rsidR="00FE5476" w:rsidRPr="00FE5476">
        <w:t xml:space="preserve"> and other support staff for pupils with SEND will be encouraged to provide interventions in school as usual.  </w:t>
      </w:r>
    </w:p>
    <w:p w14:paraId="196804F1" w14:textId="77777777" w:rsidR="00FE5476" w:rsidRDefault="00FE5476" w:rsidP="00895DAE">
      <w:pPr>
        <w:spacing w:after="0"/>
      </w:pPr>
    </w:p>
    <w:p w14:paraId="0B303E72" w14:textId="2023D325" w:rsidR="00895DAE" w:rsidRDefault="00895DAE" w:rsidP="00895DAE">
      <w:pPr>
        <w:spacing w:after="0"/>
      </w:pPr>
      <w:r>
        <w:t xml:space="preserve">We will </w:t>
      </w:r>
      <w:r w:rsidRPr="00AB679C">
        <w:t>ensure that appropriate support is made available for pupils with SEND, for example by deploying teaching assistants to work with pupils in different classes or year groups.</w:t>
      </w:r>
      <w:r>
        <w:t xml:space="preserve">  </w:t>
      </w:r>
      <w:r w:rsidRPr="003B79CD">
        <w:t>Where capacity allows, support staff may also deliver catch-up provisions or targeted interventions.</w:t>
      </w:r>
      <w:r w:rsidR="00B720F5">
        <w:t xml:space="preserve"> Pu</w:t>
      </w:r>
      <w:r w:rsidR="00FE5476">
        <w:t>pils will be kept in their group</w:t>
      </w:r>
      <w:r w:rsidR="00B720F5">
        <w:t xml:space="preserve">s (or ‘bubbles’) for </w:t>
      </w:r>
      <w:proofErr w:type="gramStart"/>
      <w:r w:rsidR="00B720F5">
        <w:t>the majority of</w:t>
      </w:r>
      <w:proofErr w:type="gramEnd"/>
      <w:r w:rsidR="00B720F5">
        <w:t xml:space="preserve"> the time, however, pupils may also access additional mixed groups in order to access specialist provision and/or wraparound care.</w:t>
      </w:r>
    </w:p>
    <w:p w14:paraId="6C05E924" w14:textId="5E6362A8" w:rsidR="00895DAE" w:rsidRDefault="00895DAE" w:rsidP="00895DAE">
      <w:pPr>
        <w:spacing w:after="0"/>
      </w:pPr>
    </w:p>
    <w:p w14:paraId="39CDF646" w14:textId="06129877" w:rsidR="00895DAE" w:rsidRDefault="00895DAE" w:rsidP="00895DAE">
      <w:pPr>
        <w:spacing w:after="0"/>
        <w:rPr>
          <w:rFonts w:ascii="Arial" w:hAnsi="Arial" w:cs="Arial"/>
          <w:color w:val="0B0C0C"/>
          <w:sz w:val="29"/>
          <w:szCs w:val="29"/>
          <w:shd w:val="clear" w:color="auto" w:fill="FFFFFF"/>
        </w:rPr>
      </w:pPr>
      <w:r>
        <w:t xml:space="preserve">When working within the classroom, preventive distancing measures will be in place for </w:t>
      </w:r>
      <w:proofErr w:type="gramStart"/>
      <w:r>
        <w:t>the majority of</w:t>
      </w:r>
      <w:proofErr w:type="gramEnd"/>
      <w:r>
        <w:t xml:space="preserve"> </w:t>
      </w:r>
      <w:r w:rsidR="00FE5476">
        <w:t>pupils</w:t>
      </w:r>
      <w:r>
        <w:t xml:space="preserve"> in order to reduce any risk of transmission. We know 2 metre distancing is not always possible, but staff will</w:t>
      </w:r>
      <w:r w:rsidRPr="009A62F1">
        <w:t xml:space="preserve"> do this when ci</w:t>
      </w:r>
      <w:r>
        <w:t xml:space="preserve">rcumstances allow. Staff will try to </w:t>
      </w:r>
      <w:r w:rsidR="00B720F5">
        <w:t>minimise</w:t>
      </w:r>
      <w:r w:rsidRPr="009A62F1">
        <w:t xml:space="preserve"> close f</w:t>
      </w:r>
      <w:r w:rsidR="00B720F5">
        <w:t>ace to face contact and</w:t>
      </w:r>
      <w:r w:rsidRPr="009A62F1">
        <w:t xml:space="preserve"> </w:t>
      </w:r>
      <w:r w:rsidR="00B720F5">
        <w:t xml:space="preserve">close interactions. </w:t>
      </w:r>
      <w:r>
        <w:t xml:space="preserve"> However</w:t>
      </w:r>
      <w:r w:rsidRPr="009A62F1">
        <w:t>, it will not be possible when working with many pupils who have complex needs or who need close contact care. These pupils’ edu</w:t>
      </w:r>
      <w:r>
        <w:t>cational and care support will</w:t>
      </w:r>
      <w:r w:rsidRPr="009A62F1">
        <w:t xml:space="preserve"> be provided as normal.</w:t>
      </w:r>
      <w:r w:rsidRPr="009A62F1">
        <w:rPr>
          <w:rFonts w:ascii="Arial" w:hAnsi="Arial" w:cs="Arial"/>
          <w:color w:val="0B0C0C"/>
          <w:sz w:val="29"/>
          <w:szCs w:val="29"/>
          <w:shd w:val="clear" w:color="auto" w:fill="FFFFFF"/>
        </w:rPr>
        <w:t xml:space="preserve"> </w:t>
      </w:r>
    </w:p>
    <w:p w14:paraId="2D6DC05C" w14:textId="77777777" w:rsidR="00895DAE" w:rsidRDefault="00895DAE" w:rsidP="00895DAE">
      <w:pPr>
        <w:spacing w:after="0"/>
        <w:rPr>
          <w:rFonts w:ascii="Arial" w:hAnsi="Arial" w:cs="Arial"/>
          <w:color w:val="0B0C0C"/>
          <w:sz w:val="29"/>
          <w:szCs w:val="29"/>
          <w:shd w:val="clear" w:color="auto" w:fill="FFFFFF"/>
        </w:rPr>
      </w:pPr>
    </w:p>
    <w:p w14:paraId="66795699" w14:textId="7014F3BA" w:rsidR="00895DAE" w:rsidRPr="009A62F1" w:rsidRDefault="00895DAE" w:rsidP="00895DAE">
      <w:pPr>
        <w:spacing w:after="0"/>
      </w:pPr>
      <w:r>
        <w:t>In line with guidance, f</w:t>
      </w:r>
      <w:r w:rsidRPr="009A62F1">
        <w:t xml:space="preserve">or </w:t>
      </w:r>
      <w:r w:rsidR="00FE5476">
        <w:t>pupils</w:t>
      </w:r>
      <w:r>
        <w:t xml:space="preserve"> old enough, they will</w:t>
      </w:r>
      <w:r w:rsidRPr="009A62F1">
        <w:t xml:space="preserve"> also be supported to maintain distance and not touch </w:t>
      </w:r>
      <w:r w:rsidRPr="00A0717C">
        <w:t>staff and their peers where possible. Similarly, this will not be possible for the youngest children and some</w:t>
      </w:r>
      <w:r w:rsidRPr="009A62F1">
        <w:t xml:space="preserve"> </w:t>
      </w:r>
      <w:r w:rsidR="00FE5476">
        <w:t xml:space="preserve">pupils </w:t>
      </w:r>
      <w:r w:rsidRPr="009A62F1">
        <w:t xml:space="preserve">with complex needs and </w:t>
      </w:r>
      <w:r>
        <w:t xml:space="preserve">if </w:t>
      </w:r>
      <w:r w:rsidRPr="009A62F1">
        <w:t>it is not feasible where space does not allow.</w:t>
      </w:r>
      <w:r w:rsidR="00B720F5">
        <w:t xml:space="preserve">  </w:t>
      </w:r>
    </w:p>
    <w:p w14:paraId="57FC08DE" w14:textId="77777777" w:rsidR="00895DAE" w:rsidRDefault="00895DAE" w:rsidP="00895DAE">
      <w:pPr>
        <w:spacing w:after="0"/>
      </w:pPr>
    </w:p>
    <w:p w14:paraId="7AED0BF4" w14:textId="55B4340A" w:rsidR="00895DAE" w:rsidRDefault="00895DAE" w:rsidP="00895DAE">
      <w:pPr>
        <w:spacing w:after="0"/>
      </w:pPr>
      <w:r w:rsidRPr="0003010D">
        <w:t>The use of face coverings will also be considered where relevant and in line with guidance (found</w:t>
      </w:r>
      <w:r>
        <w:t xml:space="preserve"> </w:t>
      </w:r>
      <w:hyperlink r:id="rId30" w:history="1">
        <w:r w:rsidRPr="00573475">
          <w:rPr>
            <w:rStyle w:val="Hyperlink"/>
          </w:rPr>
          <w:t>here</w:t>
        </w:r>
      </w:hyperlink>
      <w:r w:rsidRPr="0003010D">
        <w:t>)</w:t>
      </w:r>
      <w:r>
        <w:t xml:space="preserve"> as part of our system of controls to minimise risks. However, we acknowledge the need for some exemptions and considerations in relation to the use of face coverings </w:t>
      </w:r>
      <w:proofErr w:type="gramStart"/>
      <w:r>
        <w:t>in order to</w:t>
      </w:r>
      <w:proofErr w:type="gramEnd"/>
      <w:r>
        <w:t xml:space="preserve"> support </w:t>
      </w:r>
      <w:r>
        <w:lastRenderedPageBreak/>
        <w:t xml:space="preserve">pupils (and staff) with specific special educational needs and/or disabilities. </w:t>
      </w:r>
      <w:r w:rsidR="00587B42">
        <w:t xml:space="preserve"> For example, this may include the use of clear face coverings.</w:t>
      </w:r>
    </w:p>
    <w:p w14:paraId="72F091A3" w14:textId="77777777" w:rsidR="00895DAE" w:rsidRDefault="00895DAE" w:rsidP="00895DAE">
      <w:pPr>
        <w:spacing w:after="0"/>
      </w:pPr>
    </w:p>
    <w:p w14:paraId="1210201D" w14:textId="4FC6FC32" w:rsidR="00895DAE" w:rsidRDefault="00895DAE" w:rsidP="00895DAE">
      <w:pPr>
        <w:spacing w:after="0"/>
      </w:pPr>
      <w:r>
        <w:t xml:space="preserve">Children and young people in school will be encouraged to regularly clean their hands thoroughly, including before and after using any specialist equipment.  We acknowledge that some </w:t>
      </w:r>
      <w:r w:rsidR="00E73CF7">
        <w:t>younger</w:t>
      </w:r>
      <w:r>
        <w:t xml:space="preserve"> children or pupils with more complex needs may require help.  Similarly, good respiratory hygiene will be encouraged.  Again, some children and young people will be helped to get this right.  Where pupils with specific needs struggle to maintain good respiratory hygiene (for example, through uncontrollable spitting or where saliva is a sensory stimulant), a risk assessment should be completed (see Section 3) </w:t>
      </w:r>
      <w:proofErr w:type="gramStart"/>
      <w:r>
        <w:t>in order to</w:t>
      </w:r>
      <w:proofErr w:type="gramEnd"/>
      <w:r>
        <w:t xml:space="preserve"> support both pupils and staff with face-to-face education provision. Government guidance states that this </w:t>
      </w:r>
      <w:r w:rsidRPr="009A19B1">
        <w:t>is not a reason to deny these pupils face-to-face education.</w:t>
      </w:r>
    </w:p>
    <w:p w14:paraId="0FACC2CB" w14:textId="77777777" w:rsidR="00895DAE" w:rsidRDefault="00895DAE" w:rsidP="00895DAE">
      <w:pPr>
        <w:spacing w:after="0"/>
      </w:pPr>
    </w:p>
    <w:p w14:paraId="71B99972" w14:textId="492CC361" w:rsidR="00895DAE" w:rsidRDefault="00895DAE" w:rsidP="00895DAE">
      <w:pPr>
        <w:spacing w:after="0"/>
      </w:pPr>
      <w:r>
        <w:t>If appropriate and in line with guidance, t</w:t>
      </w:r>
      <w:r w:rsidRPr="00895DAE">
        <w:t>he school will participate with the rapid testing programme, following the</w:t>
      </w:r>
      <w:r>
        <w:t xml:space="preserve"> </w:t>
      </w:r>
      <w:hyperlink r:id="rId31" w:history="1">
        <w:r w:rsidRPr="00D2764E">
          <w:rPr>
            <w:rStyle w:val="Hyperlink"/>
          </w:rPr>
          <w:t>Mass asymptomatic testing: schools and colleges guidance</w:t>
        </w:r>
      </w:hyperlink>
      <w:r>
        <w:t>.</w:t>
      </w:r>
    </w:p>
    <w:p w14:paraId="49DFE7E7" w14:textId="3FAA808D" w:rsidR="00CD6A6F" w:rsidRDefault="00895DAE" w:rsidP="00895DAE">
      <w:pPr>
        <w:spacing w:after="0"/>
      </w:pPr>
      <w:r>
        <w:t>The school will take swift action if we become aware that someone has tested positive for coronavirus.  Following advice, all pupils (including the most vulnerable) may be sent home to self-isolate – in this instance, they would be g</w:t>
      </w:r>
      <w:r w:rsidR="00CD6A6F">
        <w:t>iven access to remote education.</w:t>
      </w:r>
    </w:p>
    <w:p w14:paraId="60072D5F" w14:textId="77777777" w:rsidR="00895DAE" w:rsidRDefault="00895DAE" w:rsidP="00895DAE">
      <w:pPr>
        <w:rPr>
          <w:b/>
          <w:color w:val="44546A" w:themeColor="text2"/>
        </w:rPr>
      </w:pPr>
    </w:p>
    <w:p w14:paraId="1F0EF85C" w14:textId="6138F304" w:rsidR="00305BF6" w:rsidRPr="00305BF6" w:rsidRDefault="00305BF6" w:rsidP="00E05AD7">
      <w:pPr>
        <w:rPr>
          <w:b/>
          <w:color w:val="44546A" w:themeColor="text2"/>
        </w:rPr>
      </w:pPr>
      <w:r w:rsidRPr="00305BF6">
        <w:rPr>
          <w:b/>
          <w:color w:val="44546A" w:themeColor="text2"/>
        </w:rPr>
        <w:t>Remote education</w:t>
      </w:r>
    </w:p>
    <w:p w14:paraId="2E724424" w14:textId="3AD6E1C6" w:rsidR="00211BF6" w:rsidRPr="00211BF6" w:rsidRDefault="00211BF6" w:rsidP="00211BF6">
      <w:r w:rsidRPr="00211BF6">
        <w:t xml:space="preserve">Any </w:t>
      </w:r>
      <w:r w:rsidRPr="00211BF6">
        <w:rPr>
          <w:b/>
        </w:rPr>
        <w:t xml:space="preserve">remote education and home learning </w:t>
      </w:r>
      <w:r w:rsidRPr="00211BF6">
        <w:t>needed will be of high quality and will align with in-school provision and curriculum resources. The educational offer will include both recorded or live direct teaching time, and time for pupils to complete tasks and</w:t>
      </w:r>
      <w:r w:rsidR="00CD40E7">
        <w:t>/or</w:t>
      </w:r>
      <w:r w:rsidRPr="00211BF6">
        <w:t xml:space="preserve"> assignments independently. To support this, the school may refer to the nationally available resources to support SEND pupils, such as the </w:t>
      </w:r>
      <w:hyperlink r:id="rId32" w:history="1">
        <w:r w:rsidRPr="00211BF6">
          <w:rPr>
            <w:color w:val="0000FF"/>
            <w:u w:val="single"/>
          </w:rPr>
          <w:t>Oak National Academy specialist content for SEND</w:t>
        </w:r>
      </w:hyperlink>
      <w:r w:rsidRPr="00211BF6">
        <w:t xml:space="preserve">, as well as utilise the digital and technological support.  The school staff may also utilise the government’s </w:t>
      </w:r>
      <w:hyperlink r:id="rId33" w:history="1">
        <w:r w:rsidRPr="00211BF6">
          <w:rPr>
            <w:color w:val="0000FF"/>
            <w:u w:val="single"/>
          </w:rPr>
          <w:t xml:space="preserve">Get Help </w:t>
        </w:r>
        <w:proofErr w:type="gramStart"/>
        <w:r w:rsidRPr="00211BF6">
          <w:rPr>
            <w:color w:val="0000FF"/>
            <w:u w:val="single"/>
          </w:rPr>
          <w:t>With</w:t>
        </w:r>
        <w:proofErr w:type="gramEnd"/>
        <w:r w:rsidRPr="00211BF6">
          <w:rPr>
            <w:color w:val="0000FF"/>
            <w:u w:val="single"/>
          </w:rPr>
          <w:t xml:space="preserve"> Remote Education</w:t>
        </w:r>
      </w:hyperlink>
      <w:r w:rsidRPr="00211BF6">
        <w:t xml:space="preserve"> page which signposts support available.</w:t>
      </w:r>
    </w:p>
    <w:p w14:paraId="70ACD28C" w14:textId="77777777" w:rsidR="00211BF6" w:rsidRPr="00211BF6" w:rsidRDefault="00211BF6" w:rsidP="00211BF6">
      <w:r w:rsidRPr="00211BF6">
        <w:t xml:space="preserve">In relation to remote learning, we acknowledge the importance of: </w:t>
      </w:r>
    </w:p>
    <w:p w14:paraId="31162AEA" w14:textId="19ADFF06" w:rsidR="00211BF6" w:rsidRPr="00211BF6" w:rsidRDefault="00211BF6" w:rsidP="00211BF6">
      <w:pPr>
        <w:numPr>
          <w:ilvl w:val="0"/>
          <w:numId w:val="32"/>
        </w:numPr>
        <w:contextualSpacing/>
      </w:pPr>
      <w:r w:rsidRPr="00211BF6">
        <w:t>teaching a planned and well-sequenced curriculum so that knowledge and skills are built incrementally, with a good level of clarity about what is intended to be taught and practised in each subject so that pupils can progress throu</w:t>
      </w:r>
      <w:r w:rsidR="00CD40E7">
        <w:t xml:space="preserve">gh the school’s </w:t>
      </w:r>
      <w:proofErr w:type="gramStart"/>
      <w:r w:rsidR="00CD40E7">
        <w:t>curriculum</w:t>
      </w:r>
      <w:proofErr w:type="gramEnd"/>
    </w:p>
    <w:p w14:paraId="3A7915C5" w14:textId="2B86E336" w:rsidR="00211BF6" w:rsidRPr="00211BF6" w:rsidRDefault="00211BF6" w:rsidP="00211BF6">
      <w:pPr>
        <w:numPr>
          <w:ilvl w:val="0"/>
          <w:numId w:val="32"/>
        </w:numPr>
        <w:contextualSpacing/>
      </w:pPr>
      <w:r w:rsidRPr="00211BF6">
        <w:t>setting meaningful and ambitious work each day, considering a pupils’ age, stage of development and/or special educational needs (considering whether the work set would place significant demands on parents/carers for help or su</w:t>
      </w:r>
      <w:r w:rsidR="00CD40E7">
        <w:t>pport)</w:t>
      </w:r>
    </w:p>
    <w:p w14:paraId="5244FA56" w14:textId="1396245E" w:rsidR="00211BF6" w:rsidRPr="00211BF6" w:rsidRDefault="00211BF6" w:rsidP="00211BF6">
      <w:pPr>
        <w:numPr>
          <w:ilvl w:val="0"/>
          <w:numId w:val="32"/>
        </w:numPr>
        <w:contextualSpacing/>
      </w:pPr>
      <w:r w:rsidRPr="00211BF6">
        <w:t>effectively utilising digital platforms for remote education provision to allow inter</w:t>
      </w:r>
      <w:r w:rsidR="00CD40E7">
        <w:t xml:space="preserve">action, </w:t>
      </w:r>
      <w:proofErr w:type="gramStart"/>
      <w:r w:rsidR="00CD40E7">
        <w:t>assessment</w:t>
      </w:r>
      <w:proofErr w:type="gramEnd"/>
      <w:r w:rsidR="00CD40E7">
        <w:t xml:space="preserve"> and feedback</w:t>
      </w:r>
    </w:p>
    <w:p w14:paraId="3B4491EE" w14:textId="7452A91D" w:rsidR="00211BF6" w:rsidRPr="00211BF6" w:rsidRDefault="00211BF6" w:rsidP="00211BF6">
      <w:pPr>
        <w:numPr>
          <w:ilvl w:val="0"/>
          <w:numId w:val="32"/>
        </w:numPr>
        <w:contextualSpacing/>
      </w:pPr>
      <w:r w:rsidRPr="00211BF6">
        <w:t xml:space="preserve">overcoming barriers to </w:t>
      </w:r>
      <w:hyperlink r:id="rId34" w:history="1">
        <w:r w:rsidRPr="00211BF6">
          <w:rPr>
            <w:color w:val="0000FF"/>
            <w:u w:val="single"/>
          </w:rPr>
          <w:t>digital access for pupils</w:t>
        </w:r>
      </w:hyperlink>
      <w:r w:rsidRPr="00211BF6">
        <w:t>, including for vulnerab</w:t>
      </w:r>
      <w:r w:rsidR="00CD40E7">
        <w:t>le learners and those with SEND</w:t>
      </w:r>
    </w:p>
    <w:p w14:paraId="509F2563" w14:textId="1DDFA68E" w:rsidR="00211BF6" w:rsidRPr="00211BF6" w:rsidRDefault="00211BF6" w:rsidP="00211BF6">
      <w:pPr>
        <w:numPr>
          <w:ilvl w:val="0"/>
          <w:numId w:val="31"/>
        </w:numPr>
        <w:contextualSpacing/>
      </w:pPr>
      <w:r w:rsidRPr="00211BF6">
        <w:t>acknowledging that some pupils who have difficulty engaging in remote education may be considered to be vulnerable and therefore eligible</w:t>
      </w:r>
      <w:r w:rsidR="00CD40E7">
        <w:t xml:space="preserve"> to attend provision in </w:t>
      </w:r>
      <w:proofErr w:type="gramStart"/>
      <w:r w:rsidR="00CD40E7">
        <w:t>person</w:t>
      </w:r>
      <w:proofErr w:type="gramEnd"/>
    </w:p>
    <w:p w14:paraId="046A1D36" w14:textId="58322481" w:rsidR="00211BF6" w:rsidRPr="00211BF6" w:rsidRDefault="00211BF6" w:rsidP="00211BF6">
      <w:pPr>
        <w:numPr>
          <w:ilvl w:val="0"/>
          <w:numId w:val="31"/>
        </w:numPr>
        <w:contextualSpacing/>
      </w:pPr>
      <w:r w:rsidRPr="00211BF6">
        <w:t>recognising that some pupils with SEND may not be able to access remote education without adult support (we will try to work with families to ensure the delivery of a broad and ambitious curriculum appropriate for their lev</w:t>
      </w:r>
      <w:r w:rsidR="00CD40E7">
        <w:t>el of need)</w:t>
      </w:r>
    </w:p>
    <w:p w14:paraId="75EF56B6" w14:textId="37AA139D" w:rsidR="00211BF6" w:rsidRPr="00211BF6" w:rsidRDefault="00211BF6" w:rsidP="00211BF6">
      <w:pPr>
        <w:numPr>
          <w:ilvl w:val="0"/>
          <w:numId w:val="31"/>
        </w:numPr>
        <w:contextualSpacing/>
      </w:pPr>
      <w:r w:rsidRPr="00211BF6">
        <w:lastRenderedPageBreak/>
        <w:t>checking daily whether pupils are engaging with their work, and work with families to rapidly identify effective solution</w:t>
      </w:r>
      <w:r w:rsidR="00CD40E7">
        <w:t xml:space="preserve">s where engagement is a </w:t>
      </w:r>
      <w:proofErr w:type="gramStart"/>
      <w:r w:rsidR="00CD40E7">
        <w:t>concern</w:t>
      </w:r>
      <w:proofErr w:type="gramEnd"/>
    </w:p>
    <w:p w14:paraId="79DE89DC" w14:textId="2EC6FE25" w:rsidR="00211BF6" w:rsidRPr="00211BF6" w:rsidRDefault="00211BF6" w:rsidP="00211BF6">
      <w:pPr>
        <w:numPr>
          <w:ilvl w:val="0"/>
          <w:numId w:val="31"/>
        </w:numPr>
        <w:contextualSpacing/>
      </w:pPr>
      <w:r w:rsidRPr="00211BF6">
        <w:t>monitoring the quality and delivery of remote education (at a senior leadership level), including that provision meets ex</w:t>
      </w:r>
      <w:r w:rsidR="00CD40E7">
        <w:t xml:space="preserve">pectations for remote </w:t>
      </w:r>
      <w:proofErr w:type="gramStart"/>
      <w:r w:rsidR="00CD40E7">
        <w:t>education</w:t>
      </w:r>
      <w:proofErr w:type="gramEnd"/>
    </w:p>
    <w:p w14:paraId="695BC5F7" w14:textId="7592C68F" w:rsidR="00211BF6" w:rsidRPr="00211BF6" w:rsidRDefault="00211BF6" w:rsidP="00211BF6">
      <w:pPr>
        <w:numPr>
          <w:ilvl w:val="0"/>
          <w:numId w:val="31"/>
        </w:numPr>
        <w:contextualSpacing/>
      </w:pPr>
      <w:r w:rsidRPr="00211BF6">
        <w:t xml:space="preserve">publishing information for pupils, </w:t>
      </w:r>
      <w:proofErr w:type="gramStart"/>
      <w:r w:rsidRPr="00211BF6">
        <w:t>parents</w:t>
      </w:r>
      <w:proofErr w:type="gramEnd"/>
      <w:r w:rsidRPr="00211BF6">
        <w:t xml:space="preserve"> and carers about</w:t>
      </w:r>
      <w:r w:rsidR="00CD40E7">
        <w:t xml:space="preserve"> the remote education provision</w:t>
      </w:r>
      <w:r w:rsidRPr="00211BF6">
        <w:t xml:space="preserve"> </w:t>
      </w:r>
    </w:p>
    <w:p w14:paraId="00C6771E" w14:textId="77777777" w:rsidR="00211BF6" w:rsidRPr="00211BF6" w:rsidRDefault="00211BF6" w:rsidP="00211BF6">
      <w:pPr>
        <w:numPr>
          <w:ilvl w:val="0"/>
          <w:numId w:val="31"/>
        </w:numPr>
        <w:contextualSpacing/>
      </w:pPr>
      <w:r w:rsidRPr="00211BF6">
        <w:t>considering what we already know about effective teaching, for example:</w:t>
      </w:r>
    </w:p>
    <w:p w14:paraId="58D459F7" w14:textId="77777777" w:rsidR="00211BF6" w:rsidRPr="00211BF6" w:rsidRDefault="00211BF6" w:rsidP="00211BF6">
      <w:pPr>
        <w:numPr>
          <w:ilvl w:val="0"/>
          <w:numId w:val="30"/>
        </w:numPr>
        <w:contextualSpacing/>
      </w:pPr>
      <w:r w:rsidRPr="00211BF6">
        <w:t xml:space="preserve">providing frequent, clear explanations of new content, delivered by a teacher or through high-quality curriculum </w:t>
      </w:r>
      <w:proofErr w:type="gramStart"/>
      <w:r w:rsidRPr="00211BF6">
        <w:t>resources</w:t>
      </w:r>
      <w:proofErr w:type="gramEnd"/>
    </w:p>
    <w:p w14:paraId="658C4F0B" w14:textId="77777777" w:rsidR="00211BF6" w:rsidRPr="00211BF6" w:rsidRDefault="00211BF6" w:rsidP="00211BF6">
      <w:pPr>
        <w:numPr>
          <w:ilvl w:val="0"/>
          <w:numId w:val="30"/>
        </w:numPr>
        <w:contextualSpacing/>
      </w:pPr>
      <w:r w:rsidRPr="00211BF6">
        <w:t>providing opportunities for interactivity, including questioning, eliciting and reflective discussion</w:t>
      </w:r>
    </w:p>
    <w:p w14:paraId="52C13708" w14:textId="77777777" w:rsidR="00211BF6" w:rsidRPr="00211BF6" w:rsidRDefault="00211BF6" w:rsidP="00211BF6">
      <w:pPr>
        <w:numPr>
          <w:ilvl w:val="0"/>
          <w:numId w:val="30"/>
        </w:numPr>
        <w:contextualSpacing/>
      </w:pPr>
      <w:r w:rsidRPr="00211BF6">
        <w:t xml:space="preserve">providing scaffolded practice and opportunities to apply new </w:t>
      </w:r>
      <w:proofErr w:type="gramStart"/>
      <w:r w:rsidRPr="00211BF6">
        <w:t>knowledge</w:t>
      </w:r>
      <w:proofErr w:type="gramEnd"/>
    </w:p>
    <w:p w14:paraId="5969062C" w14:textId="77777777" w:rsidR="00211BF6" w:rsidRPr="00211BF6" w:rsidRDefault="00211BF6" w:rsidP="00211BF6">
      <w:pPr>
        <w:numPr>
          <w:ilvl w:val="0"/>
          <w:numId w:val="30"/>
        </w:numPr>
        <w:contextualSpacing/>
      </w:pPr>
      <w:r w:rsidRPr="00211BF6">
        <w:t xml:space="preserve">enabling pupils to receive timely and frequent feedback on how to progress, using </w:t>
      </w:r>
      <w:proofErr w:type="gramStart"/>
      <w:r w:rsidRPr="00211BF6">
        <w:t>digitally-facilitated</w:t>
      </w:r>
      <w:proofErr w:type="gramEnd"/>
      <w:r w:rsidRPr="00211BF6">
        <w:t xml:space="preserve"> or whole-class feedback where appropriate</w:t>
      </w:r>
    </w:p>
    <w:p w14:paraId="2D1E9EC7" w14:textId="77777777" w:rsidR="00211BF6" w:rsidRPr="00211BF6" w:rsidRDefault="00211BF6" w:rsidP="00211BF6">
      <w:pPr>
        <w:numPr>
          <w:ilvl w:val="0"/>
          <w:numId w:val="30"/>
        </w:numPr>
        <w:contextualSpacing/>
      </w:pPr>
      <w:r w:rsidRPr="00211BF6">
        <w:t xml:space="preserve">using assessment to ensure teaching is responsive to pupils’ needs and addresses any critical gaps in pupils’ </w:t>
      </w:r>
      <w:proofErr w:type="gramStart"/>
      <w:r w:rsidRPr="00211BF6">
        <w:t>knowledge</w:t>
      </w:r>
      <w:proofErr w:type="gramEnd"/>
    </w:p>
    <w:p w14:paraId="0ABDF523" w14:textId="77777777" w:rsidR="00211BF6" w:rsidRPr="00211BF6" w:rsidRDefault="00211BF6" w:rsidP="00211BF6">
      <w:pPr>
        <w:numPr>
          <w:ilvl w:val="0"/>
          <w:numId w:val="30"/>
        </w:numPr>
        <w:contextualSpacing/>
      </w:pPr>
      <w:r w:rsidRPr="00211BF6">
        <w:t>avoiding an over-reliance on long-term projects or internet research activities.</w:t>
      </w:r>
    </w:p>
    <w:p w14:paraId="34720613" w14:textId="77777777" w:rsidR="00211BF6" w:rsidRPr="00211BF6" w:rsidRDefault="00211BF6" w:rsidP="00211BF6">
      <w:pPr>
        <w:ind w:left="770"/>
        <w:contextualSpacing/>
      </w:pPr>
    </w:p>
    <w:p w14:paraId="155FCFE3" w14:textId="3999F24C" w:rsidR="00211BF6" w:rsidRPr="00211BF6" w:rsidRDefault="00211BF6" w:rsidP="00211BF6">
      <w:r w:rsidRPr="00211BF6">
        <w:t xml:space="preserve">For pupils with SEND, their teachers are </w:t>
      </w:r>
      <w:proofErr w:type="gramStart"/>
      <w:r w:rsidRPr="00211BF6">
        <w:t>best-placed</w:t>
      </w:r>
      <w:proofErr w:type="gramEnd"/>
      <w:r w:rsidRPr="00211BF6">
        <w:t xml:space="preserve"> to know how pupil needs can be most effectively met to ensure they continue to make progress even if they are not able to be in school. </w:t>
      </w:r>
      <w:r w:rsidR="00067F06" w:rsidRPr="00067F06">
        <w:t>The requirement for schools within the 2014 Children and Families Act to use their best endeavours to secure the special educational provision called for by the pupils’ special educational needs</w:t>
      </w:r>
      <w:r w:rsidR="00067F06">
        <w:t>,</w:t>
      </w:r>
      <w:r w:rsidR="00067F06" w:rsidRPr="00067F06">
        <w:t xml:space="preserve"> remains in place.</w:t>
      </w:r>
    </w:p>
    <w:p w14:paraId="17B6E7CC" w14:textId="6527081C" w:rsidR="00211BF6" w:rsidRDefault="00211BF6" w:rsidP="00211BF6">
      <w:r w:rsidRPr="00211BF6">
        <w:t>We will work collaboratively with families</w:t>
      </w:r>
      <w:r w:rsidR="00067F06">
        <w:t xml:space="preserve"> of pupils with SEND</w:t>
      </w:r>
      <w:r w:rsidRPr="00211BF6">
        <w:t xml:space="preserve">, putting in place reasonable adjustments as necessary, so that pupils at home can successfully access </w:t>
      </w:r>
      <w:r w:rsidR="00067F06">
        <w:t xml:space="preserve">a </w:t>
      </w:r>
      <w:r w:rsidRPr="00211BF6">
        <w:t xml:space="preserve">remote </w:t>
      </w:r>
      <w:r w:rsidR="00067F06">
        <w:t>ambitious curriculum</w:t>
      </w:r>
      <w:r w:rsidRPr="00211BF6">
        <w:t xml:space="preserve"> </w:t>
      </w:r>
      <w:r w:rsidR="00067F06">
        <w:t>appropriate for their level of need</w:t>
      </w:r>
      <w:r w:rsidRPr="00211BF6">
        <w:t xml:space="preserve">. When designing home learning and support for children and young people with SEND, we may also involve external professionals to support the design or adapt interventions or learning materials.  </w:t>
      </w:r>
    </w:p>
    <w:p w14:paraId="672891B0" w14:textId="46DB04EF" w:rsidR="00211BF6" w:rsidRDefault="00211BF6" w:rsidP="00211BF6">
      <w:r w:rsidRPr="00211BF6">
        <w:t>The online learning offer for the school is available on the school website.</w:t>
      </w:r>
    </w:p>
    <w:p w14:paraId="34EA44E9" w14:textId="23AD8C3F" w:rsidR="009773ED" w:rsidRDefault="009773ED" w:rsidP="000A6784"/>
    <w:p w14:paraId="44835B8A" w14:textId="43732F4C" w:rsidR="000A6784" w:rsidRDefault="000A6784" w:rsidP="000A6784">
      <w:pPr>
        <w:rPr>
          <w:b/>
          <w:color w:val="44546A" w:themeColor="text2"/>
          <w:sz w:val="24"/>
          <w:szCs w:val="24"/>
        </w:rPr>
      </w:pPr>
      <w:r>
        <w:rPr>
          <w:b/>
          <w:color w:val="44546A" w:themeColor="text2"/>
          <w:sz w:val="24"/>
          <w:szCs w:val="24"/>
        </w:rPr>
        <w:t>6. Statutory Assessments, Annual Reviews and Reviews for Pupils at SEN Support</w:t>
      </w:r>
    </w:p>
    <w:p w14:paraId="19FBD663" w14:textId="6ED72413" w:rsidR="004F0A30" w:rsidRPr="004F0A30" w:rsidRDefault="004F0A30" w:rsidP="004F0A30">
      <w:r w:rsidRPr="004F0A30">
        <w:t xml:space="preserve">From the </w:t>
      </w:r>
      <w:proofErr w:type="gramStart"/>
      <w:r w:rsidRPr="004F0A30">
        <w:t>25</w:t>
      </w:r>
      <w:r w:rsidRPr="004F0A30">
        <w:rPr>
          <w:vertAlign w:val="superscript"/>
        </w:rPr>
        <w:t>th</w:t>
      </w:r>
      <w:proofErr w:type="gramEnd"/>
      <w:r w:rsidRPr="004F0A30">
        <w:t xml:space="preserve"> September 2020, any previous temporary modifications to SEND policy and practice made by the Secretary of State </w:t>
      </w:r>
      <w:r w:rsidRPr="00CD40E7">
        <w:rPr>
          <w:b/>
        </w:rPr>
        <w:t>ceased.</w:t>
      </w:r>
      <w:r w:rsidRPr="004F0A30">
        <w:t xml:space="preserve">  Applications for statutory assessments will continue to be submitted to the local authority in line with normal practice. At all times it is important that these continue to ensure that the child or young person, and their parent and carer, is at the centre of the process and can engage with the process in a meaningful way.</w:t>
      </w:r>
    </w:p>
    <w:p w14:paraId="2D7DA9CD" w14:textId="114109CA" w:rsidR="004F0A30" w:rsidRPr="004F0A30" w:rsidRDefault="004F0A30" w:rsidP="004F0A30">
      <w:r w:rsidRPr="004F0A30">
        <w:t>Where possible, the school SENCO will liaise with pupils, parent/carers, appropriate key professionals and external agencies for children and young people with SEND – this will ensure effective co-production</w:t>
      </w:r>
      <w:r>
        <w:t xml:space="preserve"> and </w:t>
      </w:r>
      <w:r w:rsidRPr="004F0A30">
        <w:t xml:space="preserve">arrangements for delivering all therapies and support that would normally be in place for </w:t>
      </w:r>
      <w:r w:rsidR="004D5A57">
        <w:t>pupils</w:t>
      </w:r>
      <w:r w:rsidRPr="004F0A30">
        <w:t xml:space="preserve"> with </w:t>
      </w:r>
      <w:r>
        <w:t>an EHCP.</w:t>
      </w:r>
      <w:r w:rsidRPr="004F0A30">
        <w:t xml:space="preserve">  </w:t>
      </w:r>
      <w:r w:rsidR="00CD40E7" w:rsidRPr="00CD40E7">
        <w:t>The requirement for schools within the 2014 Children and Families Act to use their best endeavours to secure the special educational provision called for by the pupils’ special educational needs, remains in place.</w:t>
      </w:r>
      <w:r w:rsidR="00CD40E7">
        <w:t xml:space="preserve">  </w:t>
      </w:r>
      <w:r w:rsidRPr="004F0A30">
        <w:t xml:space="preserve">There may be times when it becomes more difficult to do so than usual, particularly if children and young people are isolating. </w:t>
      </w:r>
      <w:r w:rsidR="00626877" w:rsidRPr="00626877">
        <w:t xml:space="preserve">In collaboration with local authorities and health </w:t>
      </w:r>
      <w:r w:rsidR="00626877">
        <w:t>partners (where applicable), we</w:t>
      </w:r>
      <w:r w:rsidR="00626877" w:rsidRPr="00626877">
        <w:t xml:space="preserve"> </w:t>
      </w:r>
      <w:r w:rsidR="00626877">
        <w:t xml:space="preserve">will endeavour to </w:t>
      </w:r>
      <w:r w:rsidR="00626877" w:rsidRPr="00626877">
        <w:lastRenderedPageBreak/>
        <w:t>work with families to co-produce alternative arrangements for delivering provision.</w:t>
      </w:r>
      <w:r w:rsidR="00626877">
        <w:t xml:space="preserve"> </w:t>
      </w:r>
      <w:r w:rsidRPr="004F0A30">
        <w:t xml:space="preserve">Decisions </w:t>
      </w:r>
      <w:r>
        <w:t>should</w:t>
      </w:r>
      <w:r w:rsidRPr="004F0A30">
        <w:t xml:space="preserve"> be considered on a case-by-case basis which takes account of the needs of, and circumstances specific to, the child or young person, avoiding a ‘one size fits all’ approach. </w:t>
      </w:r>
      <w:r>
        <w:t>To minimise risks, meetings and reviews may also take place remotely.</w:t>
      </w:r>
    </w:p>
    <w:p w14:paraId="0758D54C" w14:textId="77777777" w:rsidR="004F0A30" w:rsidRPr="004F0A30" w:rsidRDefault="004F0A30" w:rsidP="004F0A30">
      <w:r w:rsidRPr="004F0A30">
        <w:t xml:space="preserve">If parents/carers feel there is an urgent need to amend the outlined pupil needs, </w:t>
      </w:r>
      <w:proofErr w:type="gramStart"/>
      <w:r w:rsidRPr="004F0A30">
        <w:t>provision</w:t>
      </w:r>
      <w:proofErr w:type="gramEnd"/>
      <w:r w:rsidRPr="004F0A30">
        <w:t xml:space="preserve"> or placement in an EHCP, they should speak to the SENCO to see what additional review mechanisms could be put in place.   In law, parents/carers can also request a personal budget and seek direct payments for special educational provision during the Education Health and Care needs statutory assessment process or during an annual review.  </w:t>
      </w:r>
    </w:p>
    <w:p w14:paraId="75FB75AF" w14:textId="7E382837" w:rsidR="004F0A30" w:rsidRPr="004F0A30" w:rsidRDefault="004F0A30" w:rsidP="004F0A30">
      <w:r w:rsidRPr="004F0A30">
        <w:t xml:space="preserve">Further information about the LA’s approach towards statutory assessments for children with SEND as well as their guidance for processes during the COVID-19 outbreak can be found on the relevant Local Offer pages </w:t>
      </w:r>
    </w:p>
    <w:p w14:paraId="721E8CC5" w14:textId="77777777" w:rsidR="004F0A30" w:rsidRPr="004F0A30" w:rsidRDefault="004F0A30" w:rsidP="004F0A30">
      <w:pPr>
        <w:numPr>
          <w:ilvl w:val="0"/>
          <w:numId w:val="13"/>
        </w:numPr>
        <w:contextualSpacing/>
        <w:rPr>
          <w:sz w:val="20"/>
          <w:szCs w:val="20"/>
        </w:rPr>
      </w:pPr>
      <w:r w:rsidRPr="004F0A30">
        <w:t xml:space="preserve">Barnsley Local Offer -  </w:t>
      </w:r>
      <w:hyperlink r:id="rId35" w:history="1">
        <w:r w:rsidRPr="004F0A30">
          <w:rPr>
            <w:color w:val="0000FF"/>
            <w:u w:val="single"/>
          </w:rPr>
          <w:t>click here</w:t>
        </w:r>
      </w:hyperlink>
    </w:p>
    <w:p w14:paraId="190B4C31" w14:textId="77777777" w:rsidR="004F0A30" w:rsidRPr="004F0A30" w:rsidRDefault="004F0A30" w:rsidP="004F0A30">
      <w:pPr>
        <w:numPr>
          <w:ilvl w:val="0"/>
          <w:numId w:val="13"/>
        </w:numPr>
        <w:contextualSpacing/>
        <w:rPr>
          <w:sz w:val="20"/>
          <w:szCs w:val="20"/>
        </w:rPr>
      </w:pPr>
      <w:r w:rsidRPr="004F0A30">
        <w:t xml:space="preserve">Barnsley Additional COVID-19 Information -  </w:t>
      </w:r>
      <w:hyperlink r:id="rId36" w:history="1">
        <w:r w:rsidRPr="004F0A30">
          <w:rPr>
            <w:color w:val="0000FF"/>
            <w:u w:val="single"/>
          </w:rPr>
          <w:t>click here</w:t>
        </w:r>
      </w:hyperlink>
    </w:p>
    <w:p w14:paraId="64752E71" w14:textId="77777777" w:rsidR="004F0A30" w:rsidRDefault="004F0A30" w:rsidP="00AD2635"/>
    <w:p w14:paraId="6D608982" w14:textId="0625D637" w:rsidR="00AD2635" w:rsidRDefault="00712388" w:rsidP="00AD2635">
      <w:pPr>
        <w:rPr>
          <w:b/>
          <w:color w:val="44546A" w:themeColor="text2"/>
          <w:sz w:val="24"/>
          <w:szCs w:val="24"/>
        </w:rPr>
      </w:pPr>
      <w:r>
        <w:rPr>
          <w:b/>
          <w:color w:val="44546A" w:themeColor="text2"/>
          <w:sz w:val="24"/>
          <w:szCs w:val="24"/>
        </w:rPr>
        <w:t>7</w:t>
      </w:r>
      <w:r w:rsidR="00AD2635">
        <w:rPr>
          <w:b/>
          <w:color w:val="44546A" w:themeColor="text2"/>
          <w:sz w:val="24"/>
          <w:szCs w:val="24"/>
        </w:rPr>
        <w:t xml:space="preserve">. </w:t>
      </w:r>
      <w:r w:rsidR="00C05860">
        <w:rPr>
          <w:b/>
          <w:color w:val="44546A" w:themeColor="text2"/>
          <w:sz w:val="24"/>
          <w:szCs w:val="24"/>
        </w:rPr>
        <w:t xml:space="preserve">Dedicated School </w:t>
      </w:r>
      <w:r w:rsidR="00AD2635">
        <w:rPr>
          <w:b/>
          <w:color w:val="44546A" w:themeColor="text2"/>
          <w:sz w:val="24"/>
          <w:szCs w:val="24"/>
        </w:rPr>
        <w:t>Transport</w:t>
      </w:r>
      <w:r w:rsidR="00D2014D">
        <w:rPr>
          <w:b/>
          <w:color w:val="44546A" w:themeColor="text2"/>
          <w:sz w:val="24"/>
          <w:szCs w:val="24"/>
        </w:rPr>
        <w:t xml:space="preserve"> for SEND </w:t>
      </w:r>
      <w:r w:rsidR="0051443B">
        <w:rPr>
          <w:b/>
          <w:color w:val="44546A" w:themeColor="text2"/>
          <w:sz w:val="24"/>
          <w:szCs w:val="24"/>
        </w:rPr>
        <w:t>P</w:t>
      </w:r>
      <w:r w:rsidR="00D2014D">
        <w:rPr>
          <w:b/>
          <w:color w:val="44546A" w:themeColor="text2"/>
          <w:sz w:val="24"/>
          <w:szCs w:val="24"/>
        </w:rPr>
        <w:t xml:space="preserve">upils with </w:t>
      </w:r>
      <w:r w:rsidR="0051443B">
        <w:rPr>
          <w:b/>
          <w:color w:val="44546A" w:themeColor="text2"/>
          <w:sz w:val="24"/>
          <w:szCs w:val="24"/>
        </w:rPr>
        <w:t>E</w:t>
      </w:r>
      <w:r w:rsidR="00D2014D">
        <w:rPr>
          <w:b/>
          <w:color w:val="44546A" w:themeColor="text2"/>
          <w:sz w:val="24"/>
          <w:szCs w:val="24"/>
        </w:rPr>
        <w:t xml:space="preserve">xisting </w:t>
      </w:r>
      <w:r w:rsidR="0051443B">
        <w:rPr>
          <w:b/>
          <w:color w:val="44546A" w:themeColor="text2"/>
          <w:sz w:val="24"/>
          <w:szCs w:val="24"/>
        </w:rPr>
        <w:t>A</w:t>
      </w:r>
      <w:r w:rsidR="00D2014D">
        <w:rPr>
          <w:b/>
          <w:color w:val="44546A" w:themeColor="text2"/>
          <w:sz w:val="24"/>
          <w:szCs w:val="24"/>
        </w:rPr>
        <w:t>rrangements</w:t>
      </w:r>
    </w:p>
    <w:p w14:paraId="132664F4" w14:textId="04AA8421" w:rsidR="00B720F5" w:rsidRDefault="00B720F5" w:rsidP="00B720F5">
      <w:r w:rsidRPr="0087376C">
        <w:t xml:space="preserve">Local authorities should continue to provide </w:t>
      </w:r>
      <w:r>
        <w:t xml:space="preserve">dedicated </w:t>
      </w:r>
      <w:r w:rsidRPr="0087376C">
        <w:t>transport for children and young people with EHC</w:t>
      </w:r>
      <w:r>
        <w:t>Ps who are</w:t>
      </w:r>
      <w:r w:rsidRPr="0087376C">
        <w:t xml:space="preserve"> attend</w:t>
      </w:r>
      <w:r>
        <w:t>ing</w:t>
      </w:r>
      <w:r w:rsidRPr="0087376C">
        <w:t xml:space="preserve"> their usual educational setting. If children and young people with EHC</w:t>
      </w:r>
      <w:r>
        <w:t>Ps</w:t>
      </w:r>
      <w:r w:rsidRPr="0087376C">
        <w:t xml:space="preserve"> are accessing an educatio</w:t>
      </w:r>
      <w:r>
        <w:t>nal setting that is not</w:t>
      </w:r>
      <w:r w:rsidRPr="0087376C">
        <w:t xml:space="preserve"> their</w:t>
      </w:r>
      <w:r>
        <w:t xml:space="preserve"> usual setting, </w:t>
      </w:r>
      <w:r w:rsidRPr="0087376C">
        <w:t xml:space="preserve">the </w:t>
      </w:r>
      <w:r>
        <w:t>local authority should</w:t>
      </w:r>
      <w:r w:rsidRPr="0087376C">
        <w:t xml:space="preserve"> review transport arrangements and endeavour to make appropriate provision for </w:t>
      </w:r>
      <w:r w:rsidR="004D5A57">
        <w:t xml:space="preserve">pupils </w:t>
      </w:r>
      <w:r w:rsidRPr="0087376C">
        <w:t>to reach their educational setting safely.</w:t>
      </w:r>
      <w:r>
        <w:t xml:space="preserve">  We will </w:t>
      </w:r>
      <w:r w:rsidRPr="00E53A15">
        <w:t xml:space="preserve">work closely with </w:t>
      </w:r>
      <w:r>
        <w:t xml:space="preserve">the local authority where they </w:t>
      </w:r>
      <w:r w:rsidRPr="00E53A15">
        <w:t>have statutory responsibility for ‘ho</w:t>
      </w:r>
      <w:r>
        <w:t>me to school transport’ for</w:t>
      </w:r>
      <w:r w:rsidRPr="00E53A15">
        <w:t xml:space="preserve"> </w:t>
      </w:r>
      <w:r w:rsidR="004D5A57">
        <w:t>pupils</w:t>
      </w:r>
      <w:r>
        <w:t xml:space="preserve"> (</w:t>
      </w:r>
      <w:proofErr w:type="gramStart"/>
      <w:r>
        <w:t>e.g.</w:t>
      </w:r>
      <w:proofErr w:type="gramEnd"/>
      <w:r>
        <w:t xml:space="preserve"> those with SEND).</w:t>
      </w:r>
    </w:p>
    <w:p w14:paraId="42FB9EA3" w14:textId="491AA8AF" w:rsidR="00B720F5" w:rsidRDefault="00B720F5" w:rsidP="00B720F5">
      <w:pPr>
        <w:spacing w:after="0"/>
      </w:pPr>
      <w:r>
        <w:t>L</w:t>
      </w:r>
      <w:r w:rsidRPr="00C05860">
        <w:t xml:space="preserve">ocal authorities </w:t>
      </w:r>
      <w:r>
        <w:t xml:space="preserve">are not </w:t>
      </w:r>
      <w:r w:rsidRPr="00C05860">
        <w:t xml:space="preserve">required to uniformly apply the social distancing </w:t>
      </w:r>
      <w:r>
        <w:t>guidelines for public transport</w:t>
      </w:r>
      <w:r w:rsidRPr="00C05860">
        <w:t xml:space="preserve"> on dedicated school or college transport</w:t>
      </w:r>
      <w:r w:rsidR="006F37FA">
        <w:t xml:space="preserve"> (found </w:t>
      </w:r>
      <w:hyperlink r:id="rId37" w:anchor="part-b-guidance-for-dedicated-transport-to-schools-and-other-places-of-education-for-the-2020-to-2021-academic-year" w:history="1">
        <w:r w:rsidR="006F37FA" w:rsidRPr="006F37FA">
          <w:rPr>
            <w:rStyle w:val="Hyperlink"/>
          </w:rPr>
          <w:t>here</w:t>
        </w:r>
      </w:hyperlink>
      <w:r w:rsidR="006F37FA">
        <w:t>)</w:t>
      </w:r>
      <w:r w:rsidRPr="00C05860">
        <w:t>.</w:t>
      </w:r>
      <w:r>
        <w:t xml:space="preserve"> We will work with the local authority to</w:t>
      </w:r>
      <w:r w:rsidRPr="00C05860">
        <w:t xml:space="preserve">, wherever it is possible, </w:t>
      </w:r>
      <w:r>
        <w:t xml:space="preserve">ensure </w:t>
      </w:r>
      <w:r w:rsidRPr="00C05860">
        <w:t>that:</w:t>
      </w:r>
    </w:p>
    <w:p w14:paraId="41228DA3" w14:textId="1B0C0E56" w:rsidR="00B720F5" w:rsidRDefault="00B720F5" w:rsidP="00B720F5">
      <w:pPr>
        <w:numPr>
          <w:ilvl w:val="0"/>
          <w:numId w:val="26"/>
        </w:numPr>
        <w:spacing w:after="0"/>
        <w:ind w:left="714" w:hanging="357"/>
      </w:pPr>
      <w:r>
        <w:t>v</w:t>
      </w:r>
      <w:r w:rsidRPr="00C05860">
        <w:t>entilation of fresh air (from outside the vehicle) is maximised, particularly through opening windows and ceiling vents</w:t>
      </w:r>
      <w:r>
        <w:t>.</w:t>
      </w:r>
    </w:p>
    <w:p w14:paraId="2C5C9354" w14:textId="12CDA20A" w:rsidR="006F37FA" w:rsidRDefault="006F37FA" w:rsidP="006F37FA">
      <w:pPr>
        <w:numPr>
          <w:ilvl w:val="0"/>
          <w:numId w:val="26"/>
        </w:numPr>
        <w:spacing w:after="0"/>
      </w:pPr>
      <w:r>
        <w:t>social distancing is maximised within vehicles wherever it is possible, between individuals or ‘</w:t>
      </w:r>
      <w:proofErr w:type="gramStart"/>
      <w:r>
        <w:t>bubbles’</w:t>
      </w:r>
      <w:proofErr w:type="gramEnd"/>
    </w:p>
    <w:p w14:paraId="65A0909C" w14:textId="77777777" w:rsidR="00B720F5" w:rsidRPr="00C05860" w:rsidRDefault="00B720F5" w:rsidP="00B720F5">
      <w:pPr>
        <w:spacing w:after="0"/>
        <w:ind w:left="714"/>
      </w:pPr>
    </w:p>
    <w:p w14:paraId="5BD8AE2D" w14:textId="73D473E4" w:rsidR="00B720F5" w:rsidRDefault="00B720F5" w:rsidP="00B720F5">
      <w:r w:rsidRPr="00C05860">
        <w:t>In</w:t>
      </w:r>
      <w:r>
        <w:t xml:space="preserve"> accordance with advice, </w:t>
      </w:r>
      <w:r w:rsidRPr="00C05860">
        <w:t xml:space="preserve">children and </w:t>
      </w:r>
      <w:r>
        <w:t>young people aged 11 and over must</w:t>
      </w:r>
      <w:r w:rsidRPr="00C05860">
        <w:t xml:space="preserve"> wear a face covering when travelling on dedicated </w:t>
      </w:r>
      <w:r>
        <w:t xml:space="preserve">school </w:t>
      </w:r>
      <w:r w:rsidRPr="00C05860">
        <w:t>transport. This does not apply to people who are exempt from wearing a face covering on public transport. More information on this can be found at the </w:t>
      </w:r>
      <w:hyperlink r:id="rId38" w:anchor="exemptions-face-coverings" w:history="1">
        <w:r w:rsidRPr="00C05860">
          <w:rPr>
            <w:rStyle w:val="Hyperlink"/>
          </w:rPr>
          <w:t>safer travel guidance for passengers</w:t>
        </w:r>
      </w:hyperlink>
      <w:r w:rsidRPr="00C05860">
        <w:t>.</w:t>
      </w:r>
      <w:r>
        <w:t xml:space="preserve">  </w:t>
      </w:r>
      <w:r w:rsidR="004D5A57">
        <w:t>Pupils</w:t>
      </w:r>
      <w:r w:rsidRPr="00C05860">
        <w:t xml:space="preserve"> must not board home to school transport if they, or a member of their household, has symptoms of coronavirus (COVID-19).</w:t>
      </w:r>
    </w:p>
    <w:p w14:paraId="5B84A45A" w14:textId="494D1D0A" w:rsidR="008C5ACB" w:rsidRDefault="006F37FA" w:rsidP="00866EE5">
      <w:r w:rsidRPr="006F37FA">
        <w:t xml:space="preserve">We recognise that transporting </w:t>
      </w:r>
      <w:r>
        <w:t xml:space="preserve">some </w:t>
      </w:r>
      <w:r w:rsidRPr="006F37FA">
        <w:t>children and young people with SEND may require close contact. Where this is the case, other measures in the system of controls should be put in place to reduce risk. For example, staff may wash or sanitise their hands more frequently.</w:t>
      </w:r>
    </w:p>
    <w:p w14:paraId="270B7BD5" w14:textId="77777777" w:rsidR="006F37FA" w:rsidRPr="006F37FA" w:rsidRDefault="006F37FA" w:rsidP="00866EE5"/>
    <w:p w14:paraId="387A48C5" w14:textId="4CE40DE9" w:rsidR="00866EE5" w:rsidRDefault="00712388" w:rsidP="00866EE5">
      <w:pPr>
        <w:rPr>
          <w:b/>
          <w:color w:val="44546A" w:themeColor="text2"/>
          <w:sz w:val="24"/>
          <w:szCs w:val="24"/>
        </w:rPr>
      </w:pPr>
      <w:r>
        <w:rPr>
          <w:b/>
          <w:color w:val="44546A" w:themeColor="text2"/>
          <w:sz w:val="24"/>
          <w:szCs w:val="24"/>
        </w:rPr>
        <w:t>8</w:t>
      </w:r>
      <w:r w:rsidR="00866EE5">
        <w:rPr>
          <w:b/>
          <w:color w:val="44546A" w:themeColor="text2"/>
          <w:sz w:val="24"/>
          <w:szCs w:val="24"/>
        </w:rPr>
        <w:t>. Transition</w:t>
      </w:r>
    </w:p>
    <w:p w14:paraId="17B1D5E4" w14:textId="79F00835" w:rsidR="00C21841" w:rsidRDefault="00D96861" w:rsidP="00925EF2">
      <w:r>
        <w:lastRenderedPageBreak/>
        <w:t>K</w:t>
      </w:r>
      <w:r w:rsidR="00D2014D">
        <w:t xml:space="preserve">ey </w:t>
      </w:r>
      <w:r w:rsidR="00882FDA">
        <w:t xml:space="preserve">school </w:t>
      </w:r>
      <w:r w:rsidR="00D2014D">
        <w:t xml:space="preserve">staff will continue to complete and plan for </w:t>
      </w:r>
      <w:r w:rsidR="00850979">
        <w:t xml:space="preserve">any relevant </w:t>
      </w:r>
      <w:r w:rsidR="00D2014D">
        <w:t>transit</w:t>
      </w:r>
      <w:r w:rsidR="00882FDA">
        <w:t xml:space="preserve">ion arrangements to support </w:t>
      </w:r>
      <w:r w:rsidR="00D2014D">
        <w:t>vulnerable pupils</w:t>
      </w:r>
      <w:r w:rsidR="00E53A15">
        <w:t>, liaising</w:t>
      </w:r>
      <w:r w:rsidR="00850979">
        <w:t xml:space="preserve"> with the Trust, local authorities</w:t>
      </w:r>
      <w:r w:rsidR="00D2014D">
        <w:t>, pupils, any relevan</w:t>
      </w:r>
      <w:r w:rsidR="005B53F7">
        <w:t xml:space="preserve">t external </w:t>
      </w:r>
      <w:proofErr w:type="gramStart"/>
      <w:r w:rsidR="005B53F7">
        <w:t>agencies</w:t>
      </w:r>
      <w:proofErr w:type="gramEnd"/>
      <w:r w:rsidR="005B53F7">
        <w:t xml:space="preserve"> and parents/</w:t>
      </w:r>
      <w:r w:rsidR="00D2014D">
        <w:t>carers to ensure that any planned transitions are supported as best as they can.</w:t>
      </w:r>
      <w:r w:rsidR="00850979">
        <w:t xml:space="preserve"> The local authority should</w:t>
      </w:r>
      <w:r w:rsidR="00706249">
        <w:t xml:space="preserve"> </w:t>
      </w:r>
      <w:r w:rsidR="003D28C7">
        <w:t xml:space="preserve">complete EHCP transfer reviews </w:t>
      </w:r>
      <w:r w:rsidR="00706249">
        <w:t xml:space="preserve">within normal statutory timeframes </w:t>
      </w:r>
      <w:r w:rsidR="003D28C7">
        <w:t>(</w:t>
      </w:r>
      <w:proofErr w:type="gramStart"/>
      <w:r w:rsidR="00706249">
        <w:t>e</w:t>
      </w:r>
      <w:r w:rsidR="002E553D">
        <w:t>.</w:t>
      </w:r>
      <w:r w:rsidR="00706249">
        <w:t>g.</w:t>
      </w:r>
      <w:proofErr w:type="gramEnd"/>
      <w:r w:rsidR="003D28C7">
        <w:t xml:space="preserve"> </w:t>
      </w:r>
      <w:r w:rsidR="00706249">
        <w:t>for pupils transferring</w:t>
      </w:r>
      <w:r w:rsidR="003D28C7">
        <w:t xml:space="preserve"> between phases of education </w:t>
      </w:r>
      <w:r w:rsidR="00706249">
        <w:t xml:space="preserve">into/between schools </w:t>
      </w:r>
      <w:r w:rsidR="003D28C7">
        <w:t xml:space="preserve">such as </w:t>
      </w:r>
      <w:r w:rsidR="00706249">
        <w:t>a transfer from p</w:t>
      </w:r>
      <w:r w:rsidR="003D28C7">
        <w:t xml:space="preserve">rimary to </w:t>
      </w:r>
      <w:r w:rsidR="00706249">
        <w:t>s</w:t>
      </w:r>
      <w:r w:rsidR="003D28C7">
        <w:t>econdary school)</w:t>
      </w:r>
      <w:r w:rsidR="003421BF">
        <w:t>.</w:t>
      </w:r>
    </w:p>
    <w:p w14:paraId="7E492269" w14:textId="77777777" w:rsidR="00850979" w:rsidRPr="00850979" w:rsidRDefault="00850979" w:rsidP="00925EF2"/>
    <w:p w14:paraId="1C674F7E" w14:textId="1A77DA04" w:rsidR="002D5F8D" w:rsidRPr="00C16930" w:rsidRDefault="00712388" w:rsidP="00C16930">
      <w:pPr>
        <w:rPr>
          <w:b/>
          <w:color w:val="44546A" w:themeColor="text2"/>
          <w:sz w:val="24"/>
          <w:szCs w:val="24"/>
        </w:rPr>
      </w:pPr>
      <w:r>
        <w:rPr>
          <w:b/>
          <w:color w:val="44546A" w:themeColor="text2"/>
          <w:sz w:val="24"/>
          <w:szCs w:val="24"/>
        </w:rPr>
        <w:t>9</w:t>
      </w:r>
      <w:r w:rsidR="000675FC">
        <w:rPr>
          <w:b/>
          <w:color w:val="44546A" w:themeColor="text2"/>
          <w:sz w:val="24"/>
          <w:szCs w:val="24"/>
        </w:rPr>
        <w:t>. S</w:t>
      </w:r>
      <w:r w:rsidR="002D5F8D" w:rsidRPr="00C16930">
        <w:rPr>
          <w:b/>
          <w:color w:val="44546A" w:themeColor="text2"/>
          <w:sz w:val="24"/>
          <w:szCs w:val="24"/>
        </w:rPr>
        <w:t xml:space="preserve">upport from </w:t>
      </w:r>
      <w:r w:rsidR="00C16930">
        <w:rPr>
          <w:b/>
          <w:color w:val="44546A" w:themeColor="text2"/>
          <w:sz w:val="24"/>
          <w:szCs w:val="24"/>
        </w:rPr>
        <w:t xml:space="preserve">Astrea Academy Trust </w:t>
      </w:r>
      <w:r w:rsidR="002D5F8D" w:rsidRPr="00C16930">
        <w:rPr>
          <w:b/>
          <w:color w:val="44546A" w:themeColor="text2"/>
          <w:sz w:val="24"/>
          <w:szCs w:val="24"/>
        </w:rPr>
        <w:t xml:space="preserve"> </w:t>
      </w:r>
    </w:p>
    <w:p w14:paraId="3C16D1E9" w14:textId="3A8E965D" w:rsidR="006003C8" w:rsidRDefault="00C16930" w:rsidP="002D5F8D">
      <w:r>
        <w:t xml:space="preserve">Astrea central team continues to be available to </w:t>
      </w:r>
      <w:r w:rsidR="002D5F8D">
        <w:t>provide support</w:t>
      </w:r>
      <w:r>
        <w:t xml:space="preserve"> and guidance to colleagues as appropriate. </w:t>
      </w:r>
      <w:r w:rsidR="00866EE5">
        <w:t xml:space="preserve"> </w:t>
      </w:r>
      <w:r w:rsidR="000675FC">
        <w:t>Members of the</w:t>
      </w:r>
      <w:r>
        <w:t xml:space="preserve"> </w:t>
      </w:r>
      <w:r w:rsidR="00866EE5">
        <w:t>Astrea</w:t>
      </w:r>
      <w:r w:rsidR="000675FC">
        <w:t xml:space="preserve"> Education and Inclusion team</w:t>
      </w:r>
      <w:r>
        <w:t xml:space="preserve"> contin</w:t>
      </w:r>
      <w:r w:rsidR="000675FC">
        <w:t>ue</w:t>
      </w:r>
      <w:r>
        <w:t xml:space="preserve"> to be available to all</w:t>
      </w:r>
      <w:r w:rsidR="002D5F8D">
        <w:t xml:space="preserve"> </w:t>
      </w:r>
      <w:r w:rsidR="000675FC">
        <w:t>SENCOs</w:t>
      </w:r>
      <w:r>
        <w:t xml:space="preserve"> and Principal’s </w:t>
      </w:r>
      <w:proofErr w:type="gramStart"/>
      <w:r>
        <w:t>in order to</w:t>
      </w:r>
      <w:proofErr w:type="gramEnd"/>
      <w:r>
        <w:t xml:space="preserve"> </w:t>
      </w:r>
      <w:r w:rsidR="002D5F8D">
        <w:t>car</w:t>
      </w:r>
      <w:r w:rsidR="00DF74C5">
        <w:t>ry out their role effectively</w:t>
      </w:r>
      <w:r w:rsidR="00806B91">
        <w:t xml:space="preserve"> and can be contacted as per page 2</w:t>
      </w:r>
      <w:r w:rsidR="00DF74C5">
        <w:t>.</w:t>
      </w:r>
    </w:p>
    <w:p w14:paraId="37E244A0" w14:textId="34C84635" w:rsidR="00030648" w:rsidRDefault="00030648" w:rsidP="006003C8">
      <w:pPr>
        <w:rPr>
          <w:b/>
          <w:color w:val="44546A" w:themeColor="text2"/>
          <w:sz w:val="24"/>
          <w:szCs w:val="24"/>
        </w:rPr>
        <w:sectPr w:rsidR="00030648" w:rsidSect="00E23722">
          <w:headerReference w:type="default" r:id="rId39"/>
          <w:footerReference w:type="even" r:id="rId40"/>
          <w:footerReference w:type="default" r:id="rId41"/>
          <w:pgSz w:w="11906" w:h="16838"/>
          <w:pgMar w:top="1440" w:right="1440" w:bottom="1440" w:left="1440" w:header="708" w:footer="708" w:gutter="0"/>
          <w:cols w:space="708"/>
          <w:docGrid w:linePitch="360"/>
        </w:sectPr>
      </w:pPr>
    </w:p>
    <w:p w14:paraId="11844A70" w14:textId="77777777" w:rsidR="00D96861" w:rsidRPr="00D96861" w:rsidRDefault="00D96861" w:rsidP="00D96861">
      <w:pPr>
        <w:rPr>
          <w:b/>
          <w:color w:val="44546A" w:themeColor="text2"/>
          <w:sz w:val="24"/>
          <w:szCs w:val="24"/>
        </w:rPr>
      </w:pPr>
      <w:r w:rsidRPr="00D96861">
        <w:rPr>
          <w:b/>
          <w:color w:val="44546A" w:themeColor="text2"/>
          <w:sz w:val="24"/>
          <w:szCs w:val="24"/>
        </w:rPr>
        <w:lastRenderedPageBreak/>
        <w:t>10. Suggested SEND COVID-19 Risk Assessment Template (page 1 of 2)</w:t>
      </w:r>
    </w:p>
    <w:p w14:paraId="1B285FBD" w14:textId="77777777" w:rsidR="00D96861" w:rsidRPr="00D96861" w:rsidRDefault="00D96861" w:rsidP="00D96861">
      <w:pPr>
        <w:spacing w:after="0"/>
        <w:rPr>
          <w:sz w:val="20"/>
          <w:szCs w:val="20"/>
        </w:rPr>
      </w:pPr>
      <w:r w:rsidRPr="00D96861">
        <w:rPr>
          <w:sz w:val="20"/>
          <w:szCs w:val="20"/>
        </w:rPr>
        <w:t>Please see Section 3 of the ‘Appendix – COVID 19 Additional Information for SEND Information Report’ for further information regarding when a risk assessment (or review of a risk assessment) may be completed.</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4038"/>
      </w:tblGrid>
      <w:tr w:rsidR="00D96861" w:rsidRPr="00D96861" w14:paraId="416876D4" w14:textId="77777777" w:rsidTr="006753EF">
        <w:trPr>
          <w:trHeight w:val="446"/>
        </w:trPr>
        <w:tc>
          <w:tcPr>
            <w:tcW w:w="4888" w:type="dxa"/>
            <w:shd w:val="clear" w:color="auto" w:fill="FFFFFF" w:themeFill="background1"/>
          </w:tcPr>
          <w:p w14:paraId="76EDA036" w14:textId="77777777" w:rsidR="00D96861" w:rsidRPr="00D96861" w:rsidRDefault="00D96861" w:rsidP="00D96861">
            <w:pPr>
              <w:spacing w:after="0"/>
              <w:rPr>
                <w:sz w:val="24"/>
                <w:szCs w:val="24"/>
              </w:rPr>
            </w:pPr>
            <w:r w:rsidRPr="00D96861">
              <w:rPr>
                <w:b/>
                <w:color w:val="44546A" w:themeColor="text2"/>
                <w:sz w:val="24"/>
                <w:szCs w:val="24"/>
              </w:rPr>
              <w:t>Academy / School:</w:t>
            </w:r>
          </w:p>
        </w:tc>
        <w:tc>
          <w:tcPr>
            <w:tcW w:w="4148" w:type="dxa"/>
            <w:shd w:val="clear" w:color="auto" w:fill="FFFFFF" w:themeFill="background1"/>
          </w:tcPr>
          <w:p w14:paraId="15282D8F" w14:textId="77777777" w:rsidR="00D96861" w:rsidRPr="00D96861" w:rsidRDefault="00D96861" w:rsidP="00D96861">
            <w:pPr>
              <w:spacing w:after="0"/>
              <w:rPr>
                <w:sz w:val="24"/>
                <w:szCs w:val="24"/>
              </w:rPr>
            </w:pPr>
            <w:r w:rsidRPr="00D96861">
              <w:rPr>
                <w:b/>
                <w:color w:val="44546A" w:themeColor="text2"/>
                <w:sz w:val="24"/>
                <w:szCs w:val="24"/>
              </w:rPr>
              <w:t>Date of assessment / review:</w:t>
            </w:r>
          </w:p>
        </w:tc>
      </w:tr>
      <w:tr w:rsidR="00D96861" w:rsidRPr="00D96861" w14:paraId="2264BE00" w14:textId="77777777" w:rsidTr="006753EF">
        <w:trPr>
          <w:trHeight w:val="496"/>
        </w:trPr>
        <w:tc>
          <w:tcPr>
            <w:tcW w:w="4888" w:type="dxa"/>
            <w:shd w:val="clear" w:color="auto" w:fill="FFFFFF" w:themeFill="background1"/>
          </w:tcPr>
          <w:p w14:paraId="5FA37F7A" w14:textId="77777777" w:rsidR="00D96861" w:rsidRPr="00D96861" w:rsidRDefault="00D96861" w:rsidP="00D96861">
            <w:pPr>
              <w:spacing w:after="0"/>
              <w:rPr>
                <w:b/>
                <w:color w:val="44546A" w:themeColor="text2"/>
                <w:sz w:val="24"/>
                <w:szCs w:val="24"/>
              </w:rPr>
            </w:pPr>
            <w:r w:rsidRPr="00D96861">
              <w:rPr>
                <w:b/>
                <w:color w:val="44546A" w:themeColor="text2"/>
                <w:sz w:val="24"/>
                <w:szCs w:val="24"/>
              </w:rPr>
              <w:t>Assessed by:</w:t>
            </w:r>
          </w:p>
        </w:tc>
        <w:tc>
          <w:tcPr>
            <w:tcW w:w="4148" w:type="dxa"/>
            <w:shd w:val="clear" w:color="auto" w:fill="FFFFFF" w:themeFill="background1"/>
          </w:tcPr>
          <w:p w14:paraId="1E5E4AB5" w14:textId="77777777" w:rsidR="00D96861" w:rsidRPr="00D96861" w:rsidRDefault="00D96861" w:rsidP="00D96861">
            <w:pPr>
              <w:spacing w:after="0"/>
              <w:rPr>
                <w:sz w:val="24"/>
                <w:szCs w:val="24"/>
              </w:rPr>
            </w:pPr>
            <w:r w:rsidRPr="00D96861">
              <w:rPr>
                <w:b/>
                <w:color w:val="44546A" w:themeColor="text2"/>
                <w:sz w:val="24"/>
                <w:szCs w:val="24"/>
              </w:rPr>
              <w:t>Job title:</w:t>
            </w:r>
          </w:p>
        </w:tc>
      </w:tr>
      <w:tr w:rsidR="00D96861" w:rsidRPr="00D96861" w14:paraId="553C857A" w14:textId="77777777" w:rsidTr="006753EF">
        <w:trPr>
          <w:trHeight w:val="478"/>
        </w:trPr>
        <w:tc>
          <w:tcPr>
            <w:tcW w:w="4888" w:type="dxa"/>
            <w:shd w:val="clear" w:color="auto" w:fill="FFFFFF" w:themeFill="background1"/>
          </w:tcPr>
          <w:p w14:paraId="0DD9BAFA" w14:textId="77777777" w:rsidR="00D96861" w:rsidRPr="00D96861" w:rsidRDefault="00D96861" w:rsidP="00D96861">
            <w:pPr>
              <w:spacing w:after="0"/>
              <w:rPr>
                <w:b/>
                <w:color w:val="44546A" w:themeColor="text2"/>
                <w:sz w:val="24"/>
                <w:szCs w:val="24"/>
              </w:rPr>
            </w:pPr>
            <w:r w:rsidRPr="00D96861">
              <w:rPr>
                <w:b/>
                <w:color w:val="44546A" w:themeColor="text2"/>
                <w:sz w:val="24"/>
                <w:szCs w:val="24"/>
              </w:rPr>
              <w:t>Other people involved in assessment:</w:t>
            </w:r>
          </w:p>
        </w:tc>
        <w:tc>
          <w:tcPr>
            <w:tcW w:w="4148" w:type="dxa"/>
            <w:shd w:val="clear" w:color="auto" w:fill="FFFFFF" w:themeFill="background1"/>
          </w:tcPr>
          <w:p w14:paraId="74E6CC67" w14:textId="77777777" w:rsidR="00D96861" w:rsidRPr="00D96861" w:rsidRDefault="00D96861" w:rsidP="00D96861">
            <w:pPr>
              <w:spacing w:after="0"/>
              <w:rPr>
                <w:b/>
                <w:sz w:val="28"/>
                <w:szCs w:val="28"/>
              </w:rPr>
            </w:pPr>
          </w:p>
        </w:tc>
      </w:tr>
      <w:tr w:rsidR="00D96861" w:rsidRPr="00D96861" w14:paraId="3551E6F8" w14:textId="77777777" w:rsidTr="006753EF">
        <w:trPr>
          <w:trHeight w:val="485"/>
        </w:trPr>
        <w:tc>
          <w:tcPr>
            <w:tcW w:w="4888" w:type="dxa"/>
          </w:tcPr>
          <w:p w14:paraId="0DD96F1E" w14:textId="77777777" w:rsidR="00D96861" w:rsidRPr="00D96861" w:rsidRDefault="00D96861" w:rsidP="00D96861">
            <w:pPr>
              <w:spacing w:after="0"/>
              <w:rPr>
                <w:b/>
                <w:color w:val="44546A" w:themeColor="text2"/>
                <w:sz w:val="24"/>
                <w:szCs w:val="24"/>
              </w:rPr>
            </w:pPr>
            <w:r w:rsidRPr="00D96861">
              <w:rPr>
                <w:b/>
                <w:color w:val="44546A" w:themeColor="text2"/>
                <w:sz w:val="24"/>
                <w:szCs w:val="24"/>
              </w:rPr>
              <w:t>Name of child / young person:</w:t>
            </w:r>
          </w:p>
        </w:tc>
        <w:tc>
          <w:tcPr>
            <w:tcW w:w="4148" w:type="dxa"/>
          </w:tcPr>
          <w:p w14:paraId="6988848C" w14:textId="77777777" w:rsidR="00D96861" w:rsidRPr="00D96861" w:rsidRDefault="00D96861" w:rsidP="00D96861">
            <w:pPr>
              <w:spacing w:after="0"/>
              <w:rPr>
                <w:b/>
                <w:sz w:val="28"/>
                <w:szCs w:val="28"/>
              </w:rPr>
            </w:pPr>
          </w:p>
        </w:tc>
      </w:tr>
      <w:tr w:rsidR="00D96861" w:rsidRPr="00D96861" w14:paraId="49899103" w14:textId="77777777" w:rsidTr="006753EF">
        <w:trPr>
          <w:trHeight w:val="854"/>
        </w:trPr>
        <w:tc>
          <w:tcPr>
            <w:tcW w:w="4888" w:type="dxa"/>
          </w:tcPr>
          <w:p w14:paraId="22169874" w14:textId="77777777" w:rsidR="00D96861" w:rsidRPr="00D96861" w:rsidRDefault="00D96861" w:rsidP="00D96861">
            <w:pPr>
              <w:shd w:val="clear" w:color="auto" w:fill="FFFFFF"/>
              <w:spacing w:before="100" w:beforeAutospacing="1" w:after="120" w:line="240" w:lineRule="auto"/>
            </w:pPr>
            <w:r w:rsidRPr="00D96861">
              <w:rPr>
                <w:rFonts w:eastAsia="Times New Roman" w:cstheme="minorHAnsi"/>
                <w:iCs/>
              </w:rPr>
              <w:t xml:space="preserve">The potential health risks to the individual from COVID-19, bearing in mind any underlying health conditions. </w:t>
            </w:r>
            <w:r w:rsidRPr="00D96861">
              <w:rPr>
                <w:rFonts w:eastAsia="Times New Roman" w:cstheme="minorHAnsi"/>
                <w:i/>
                <w:iCs/>
                <w:sz w:val="18"/>
                <w:szCs w:val="18"/>
              </w:rPr>
              <w:t>This must be on an individual basis with advice from an appropriate health professional where required</w:t>
            </w:r>
          </w:p>
        </w:tc>
        <w:tc>
          <w:tcPr>
            <w:tcW w:w="4148" w:type="dxa"/>
          </w:tcPr>
          <w:p w14:paraId="57E3643E" w14:textId="77777777" w:rsidR="00D96861" w:rsidRPr="00D96861" w:rsidRDefault="00D96861" w:rsidP="00D96861">
            <w:pPr>
              <w:rPr>
                <w:b/>
                <w:sz w:val="28"/>
                <w:szCs w:val="28"/>
              </w:rPr>
            </w:pPr>
          </w:p>
        </w:tc>
      </w:tr>
      <w:tr w:rsidR="00D96861" w:rsidRPr="00D96861" w14:paraId="799F5020" w14:textId="77777777" w:rsidTr="006753EF">
        <w:trPr>
          <w:trHeight w:val="878"/>
        </w:trPr>
        <w:tc>
          <w:tcPr>
            <w:tcW w:w="4888" w:type="dxa"/>
          </w:tcPr>
          <w:p w14:paraId="3D8D0EE9" w14:textId="77777777" w:rsidR="00D96861" w:rsidRPr="00D96861" w:rsidRDefault="00D96861" w:rsidP="00D96861">
            <w:pPr>
              <w:shd w:val="clear" w:color="auto" w:fill="FFFFFF"/>
              <w:spacing w:before="100" w:beforeAutospacing="1" w:after="0" w:line="240" w:lineRule="auto"/>
              <w:rPr>
                <w:rFonts w:eastAsia="Times New Roman" w:cstheme="minorHAnsi"/>
                <w:iCs/>
              </w:rPr>
            </w:pPr>
            <w:r w:rsidRPr="00D96861">
              <w:rPr>
                <w:rFonts w:eastAsia="Times New Roman" w:cstheme="minorHAnsi"/>
                <w:iCs/>
              </w:rPr>
              <w:t>The risk to the individual if some or all elements of their EHCP (and/or Support Plan) cannot be delivered at all, and the risk if they cannot be delivered in the normal manner/ in the usual setting.</w:t>
            </w:r>
          </w:p>
        </w:tc>
        <w:tc>
          <w:tcPr>
            <w:tcW w:w="4148" w:type="dxa"/>
          </w:tcPr>
          <w:p w14:paraId="6781CCEB" w14:textId="77777777" w:rsidR="00D96861" w:rsidRPr="00D96861" w:rsidRDefault="00D96861" w:rsidP="00D96861">
            <w:pPr>
              <w:rPr>
                <w:b/>
                <w:sz w:val="28"/>
                <w:szCs w:val="28"/>
              </w:rPr>
            </w:pPr>
          </w:p>
        </w:tc>
      </w:tr>
      <w:tr w:rsidR="00D96861" w:rsidRPr="00D96861" w14:paraId="5E074C38" w14:textId="77777777" w:rsidTr="006753EF">
        <w:trPr>
          <w:trHeight w:val="582"/>
        </w:trPr>
        <w:tc>
          <w:tcPr>
            <w:tcW w:w="4888" w:type="dxa"/>
          </w:tcPr>
          <w:p w14:paraId="6FD1C605" w14:textId="77777777" w:rsidR="00D96861" w:rsidRPr="00D96861" w:rsidRDefault="00D96861" w:rsidP="00D96861">
            <w:pPr>
              <w:shd w:val="clear" w:color="auto" w:fill="FFFFFF"/>
              <w:spacing w:before="100" w:beforeAutospacing="1" w:after="0" w:line="240" w:lineRule="auto"/>
              <w:rPr>
                <w:rFonts w:eastAsia="Times New Roman" w:cstheme="minorHAnsi"/>
                <w:iCs/>
              </w:rPr>
            </w:pPr>
            <w:r w:rsidRPr="00D96861">
              <w:rPr>
                <w:rFonts w:eastAsia="Times New Roman" w:cstheme="minorHAnsi"/>
                <w:iCs/>
              </w:rPr>
              <w:t>The ability of the individual’s parents/carers or home to ensure their health and care needs can be met safely.</w:t>
            </w:r>
          </w:p>
        </w:tc>
        <w:tc>
          <w:tcPr>
            <w:tcW w:w="4148" w:type="dxa"/>
          </w:tcPr>
          <w:p w14:paraId="5DA6AB52" w14:textId="77777777" w:rsidR="00D96861" w:rsidRPr="00D96861" w:rsidRDefault="00D96861" w:rsidP="00D96861">
            <w:pPr>
              <w:rPr>
                <w:b/>
                <w:sz w:val="28"/>
                <w:szCs w:val="28"/>
              </w:rPr>
            </w:pPr>
          </w:p>
        </w:tc>
      </w:tr>
      <w:tr w:rsidR="00D96861" w:rsidRPr="00D96861" w14:paraId="753A6AB2" w14:textId="77777777" w:rsidTr="006753EF">
        <w:trPr>
          <w:trHeight w:val="684"/>
        </w:trPr>
        <w:tc>
          <w:tcPr>
            <w:tcW w:w="4888" w:type="dxa"/>
          </w:tcPr>
          <w:p w14:paraId="5903DB9B" w14:textId="77777777" w:rsidR="00D96861" w:rsidRPr="00D96861" w:rsidRDefault="00D96861" w:rsidP="00D96861">
            <w:pPr>
              <w:shd w:val="clear" w:color="auto" w:fill="FFFFFF"/>
              <w:spacing w:before="100" w:beforeAutospacing="1" w:after="0" w:line="240" w:lineRule="auto"/>
              <w:rPr>
                <w:rFonts w:eastAsia="Times New Roman" w:cstheme="minorHAnsi"/>
                <w:iCs/>
              </w:rPr>
            </w:pPr>
            <w:r w:rsidRPr="00D96861">
              <w:rPr>
                <w:rFonts w:eastAsia="Times New Roman" w:cstheme="minorHAnsi"/>
                <w:iCs/>
              </w:rPr>
              <w:t>The potential impact to the individual’s wellbeing of changes to routine or the way in which provision is delivered.</w:t>
            </w:r>
          </w:p>
        </w:tc>
        <w:tc>
          <w:tcPr>
            <w:tcW w:w="4148" w:type="dxa"/>
          </w:tcPr>
          <w:p w14:paraId="040CAC4B" w14:textId="77777777" w:rsidR="00D96861" w:rsidRPr="00D96861" w:rsidRDefault="00D96861" w:rsidP="00D96861">
            <w:pPr>
              <w:rPr>
                <w:b/>
                <w:sz w:val="28"/>
                <w:szCs w:val="28"/>
              </w:rPr>
            </w:pPr>
          </w:p>
        </w:tc>
      </w:tr>
      <w:tr w:rsidR="00D96861" w:rsidRPr="00D96861" w14:paraId="34B34D9C" w14:textId="77777777" w:rsidTr="006753EF">
        <w:trPr>
          <w:trHeight w:val="684"/>
        </w:trPr>
        <w:tc>
          <w:tcPr>
            <w:tcW w:w="4888" w:type="dxa"/>
          </w:tcPr>
          <w:p w14:paraId="5D1C2A5F" w14:textId="77777777" w:rsidR="00D96861" w:rsidRPr="00D96861" w:rsidRDefault="00D96861" w:rsidP="00D96861">
            <w:pPr>
              <w:shd w:val="clear" w:color="auto" w:fill="FFFFFF"/>
              <w:spacing w:before="100" w:beforeAutospacing="1" w:after="0" w:line="240" w:lineRule="auto"/>
              <w:rPr>
                <w:rFonts w:eastAsia="Times New Roman" w:cstheme="minorHAnsi"/>
                <w:iCs/>
              </w:rPr>
            </w:pPr>
            <w:r w:rsidRPr="00D96861">
              <w:rPr>
                <w:rFonts w:eastAsia="Times New Roman" w:cstheme="minorHAnsi"/>
                <w:iCs/>
              </w:rPr>
              <w:t xml:space="preserve">The potential risks in travelling to/from school, including the safety of other children, young </w:t>
            </w:r>
            <w:proofErr w:type="gramStart"/>
            <w:r w:rsidRPr="00D96861">
              <w:rPr>
                <w:rFonts w:eastAsia="Times New Roman" w:cstheme="minorHAnsi"/>
                <w:iCs/>
              </w:rPr>
              <w:t>people</w:t>
            </w:r>
            <w:proofErr w:type="gramEnd"/>
            <w:r w:rsidRPr="00D96861">
              <w:rPr>
                <w:rFonts w:eastAsia="Times New Roman" w:cstheme="minorHAnsi"/>
                <w:iCs/>
              </w:rPr>
              <w:t xml:space="preserve"> and adults.</w:t>
            </w:r>
          </w:p>
        </w:tc>
        <w:tc>
          <w:tcPr>
            <w:tcW w:w="4148" w:type="dxa"/>
          </w:tcPr>
          <w:p w14:paraId="1C925428" w14:textId="77777777" w:rsidR="00D96861" w:rsidRPr="00D96861" w:rsidRDefault="00D96861" w:rsidP="00D96861">
            <w:pPr>
              <w:rPr>
                <w:b/>
                <w:sz w:val="28"/>
                <w:szCs w:val="28"/>
              </w:rPr>
            </w:pPr>
          </w:p>
        </w:tc>
      </w:tr>
      <w:tr w:rsidR="00D96861" w:rsidRPr="00D96861" w14:paraId="5A873590" w14:textId="77777777" w:rsidTr="006753EF">
        <w:trPr>
          <w:trHeight w:val="724"/>
        </w:trPr>
        <w:tc>
          <w:tcPr>
            <w:tcW w:w="4888" w:type="dxa"/>
          </w:tcPr>
          <w:p w14:paraId="5DB533A9" w14:textId="77777777" w:rsidR="00D96861" w:rsidRPr="00D96861" w:rsidRDefault="00D96861" w:rsidP="00D96861">
            <w:pPr>
              <w:spacing w:after="0"/>
            </w:pPr>
            <w:r w:rsidRPr="00D96861">
              <w:t xml:space="preserve">The potential risks to the home setting, including the safety of other children, young </w:t>
            </w:r>
            <w:proofErr w:type="gramStart"/>
            <w:r w:rsidRPr="00D96861">
              <w:t>people</w:t>
            </w:r>
            <w:proofErr w:type="gramEnd"/>
            <w:r w:rsidRPr="00D96861">
              <w:t xml:space="preserve"> and adults if the individual </w:t>
            </w:r>
            <w:r w:rsidRPr="00D96861">
              <w:rPr>
                <w:b/>
              </w:rPr>
              <w:t>did not</w:t>
            </w:r>
            <w:r w:rsidRPr="00D96861">
              <w:t xml:space="preserve"> </w:t>
            </w:r>
            <w:r w:rsidRPr="00D96861">
              <w:rPr>
                <w:b/>
              </w:rPr>
              <w:t xml:space="preserve">attend </w:t>
            </w:r>
            <w:r w:rsidRPr="00D96861">
              <w:t>school.</w:t>
            </w:r>
          </w:p>
          <w:p w14:paraId="0B8BBA02" w14:textId="77777777" w:rsidR="00D96861" w:rsidRPr="00D96861" w:rsidRDefault="00D96861" w:rsidP="00D96861">
            <w:pPr>
              <w:spacing w:after="0" w:line="240" w:lineRule="auto"/>
              <w:rPr>
                <w:rFonts w:eastAsia="Calibri" w:cstheme="minorHAnsi"/>
                <w:bCs/>
                <w:i/>
                <w:sz w:val="18"/>
                <w:szCs w:val="18"/>
              </w:rPr>
            </w:pPr>
            <w:r w:rsidRPr="00D96861">
              <w:rPr>
                <w:rFonts w:cstheme="minorHAnsi"/>
                <w:i/>
                <w:sz w:val="18"/>
                <w:szCs w:val="18"/>
              </w:rPr>
              <w:t>This can include any external risks</w:t>
            </w:r>
            <w:r w:rsidRPr="00D96861">
              <w:rPr>
                <w:rFonts w:eastAsia="Calibri" w:cstheme="minorHAnsi"/>
                <w:bCs/>
                <w:i/>
                <w:sz w:val="18"/>
                <w:szCs w:val="18"/>
              </w:rPr>
              <w:t xml:space="preserve">. </w:t>
            </w:r>
            <w:r w:rsidRPr="00D96861">
              <w:rPr>
                <w:rFonts w:eastAsia="Calibri" w:cstheme="minorHAnsi"/>
                <w:i/>
                <w:iCs/>
                <w:sz w:val="18"/>
                <w:szCs w:val="18"/>
              </w:rPr>
              <w:t xml:space="preserve">For example, a child or young person becoming involved in dangerous behaviour or situations or requiring support from a social worker. This applies to those whose needs are best met in educational settings, particularly </w:t>
            </w:r>
            <w:proofErr w:type="gramStart"/>
            <w:r w:rsidRPr="00D96861">
              <w:rPr>
                <w:rFonts w:eastAsia="Calibri" w:cstheme="minorHAnsi"/>
                <w:i/>
                <w:iCs/>
                <w:sz w:val="18"/>
                <w:szCs w:val="18"/>
              </w:rPr>
              <w:t>in order to</w:t>
            </w:r>
            <w:proofErr w:type="gramEnd"/>
            <w:r w:rsidRPr="00D96861">
              <w:rPr>
                <w:rFonts w:eastAsia="Calibri" w:cstheme="minorHAnsi"/>
                <w:i/>
                <w:iCs/>
                <w:sz w:val="18"/>
                <w:szCs w:val="18"/>
              </w:rPr>
              <w:t xml:space="preserve"> stop a care placement breakdown.</w:t>
            </w:r>
          </w:p>
        </w:tc>
        <w:tc>
          <w:tcPr>
            <w:tcW w:w="4148" w:type="dxa"/>
          </w:tcPr>
          <w:p w14:paraId="0A6B8984" w14:textId="77777777" w:rsidR="00D96861" w:rsidRPr="00D96861" w:rsidRDefault="00D96861" w:rsidP="00D96861">
            <w:pPr>
              <w:rPr>
                <w:b/>
                <w:sz w:val="28"/>
                <w:szCs w:val="28"/>
              </w:rPr>
            </w:pPr>
          </w:p>
        </w:tc>
      </w:tr>
      <w:tr w:rsidR="00D96861" w:rsidRPr="00D96861" w14:paraId="29980059" w14:textId="77777777" w:rsidTr="006753EF">
        <w:trPr>
          <w:trHeight w:val="371"/>
        </w:trPr>
        <w:tc>
          <w:tcPr>
            <w:tcW w:w="4888" w:type="dxa"/>
          </w:tcPr>
          <w:p w14:paraId="101EC063" w14:textId="77777777" w:rsidR="00D96861" w:rsidRPr="00D96861" w:rsidRDefault="00D96861" w:rsidP="00D96861">
            <w:pPr>
              <w:spacing w:after="0"/>
            </w:pPr>
            <w:r w:rsidRPr="00D96861">
              <w:t xml:space="preserve">The potential risks to the school setting, including the safety of other children, young </w:t>
            </w:r>
            <w:proofErr w:type="gramStart"/>
            <w:r w:rsidRPr="00D96861">
              <w:t>people</w:t>
            </w:r>
            <w:proofErr w:type="gramEnd"/>
            <w:r w:rsidRPr="00D96861">
              <w:t xml:space="preserve"> and adults if the individual</w:t>
            </w:r>
            <w:r w:rsidRPr="00D96861">
              <w:rPr>
                <w:b/>
              </w:rPr>
              <w:t xml:space="preserve"> is at school.</w:t>
            </w:r>
          </w:p>
        </w:tc>
        <w:tc>
          <w:tcPr>
            <w:tcW w:w="4148" w:type="dxa"/>
          </w:tcPr>
          <w:p w14:paraId="06C75F19" w14:textId="77777777" w:rsidR="00D96861" w:rsidRPr="00D96861" w:rsidRDefault="00D96861" w:rsidP="00D96861">
            <w:pPr>
              <w:rPr>
                <w:b/>
                <w:sz w:val="28"/>
                <w:szCs w:val="28"/>
              </w:rPr>
            </w:pPr>
          </w:p>
        </w:tc>
      </w:tr>
      <w:tr w:rsidR="00D96861" w:rsidRPr="00D96861" w14:paraId="51C6DC97" w14:textId="77777777" w:rsidTr="006753EF">
        <w:trPr>
          <w:trHeight w:val="371"/>
        </w:trPr>
        <w:tc>
          <w:tcPr>
            <w:tcW w:w="4888" w:type="dxa"/>
          </w:tcPr>
          <w:p w14:paraId="47522DFF" w14:textId="77777777" w:rsidR="00D96861" w:rsidRPr="00D96861" w:rsidRDefault="00D96861" w:rsidP="00D96861">
            <w:pPr>
              <w:spacing w:after="0"/>
            </w:pPr>
            <w:r w:rsidRPr="00D96861">
              <w:t>What can be done by the school or setting to control any risks?</w:t>
            </w:r>
          </w:p>
        </w:tc>
        <w:tc>
          <w:tcPr>
            <w:tcW w:w="4148" w:type="dxa"/>
          </w:tcPr>
          <w:p w14:paraId="36BB7D68" w14:textId="77777777" w:rsidR="00D96861" w:rsidRPr="00D96861" w:rsidRDefault="00D96861" w:rsidP="00D96861">
            <w:pPr>
              <w:rPr>
                <w:b/>
                <w:sz w:val="28"/>
                <w:szCs w:val="28"/>
              </w:rPr>
            </w:pPr>
          </w:p>
        </w:tc>
      </w:tr>
      <w:tr w:rsidR="00D96861" w:rsidRPr="00D96861" w14:paraId="76254973" w14:textId="77777777" w:rsidTr="006753EF">
        <w:trPr>
          <w:trHeight w:val="595"/>
        </w:trPr>
        <w:tc>
          <w:tcPr>
            <w:tcW w:w="4888" w:type="dxa"/>
          </w:tcPr>
          <w:p w14:paraId="55097694" w14:textId="77777777" w:rsidR="00D96861" w:rsidRPr="00D96861" w:rsidRDefault="00D96861" w:rsidP="00D96861">
            <w:pPr>
              <w:spacing w:after="0"/>
            </w:pPr>
            <w:r w:rsidRPr="00D96861">
              <w:t>What is the level of risk after all controls possible have been put in place? (HIGH/MED/LOW)</w:t>
            </w:r>
          </w:p>
        </w:tc>
        <w:tc>
          <w:tcPr>
            <w:tcW w:w="4148" w:type="dxa"/>
          </w:tcPr>
          <w:p w14:paraId="6716F0EB" w14:textId="77777777" w:rsidR="00D96861" w:rsidRPr="00D96861" w:rsidRDefault="00D96861" w:rsidP="00D96861">
            <w:pPr>
              <w:rPr>
                <w:b/>
                <w:sz w:val="28"/>
                <w:szCs w:val="28"/>
              </w:rPr>
            </w:pPr>
          </w:p>
        </w:tc>
      </w:tr>
      <w:tr w:rsidR="00D96861" w:rsidRPr="00D96861" w14:paraId="722627F5" w14:textId="77777777" w:rsidTr="006753EF">
        <w:trPr>
          <w:trHeight w:val="561"/>
        </w:trPr>
        <w:tc>
          <w:tcPr>
            <w:tcW w:w="4888" w:type="dxa"/>
          </w:tcPr>
          <w:p w14:paraId="0F7FB811" w14:textId="77777777" w:rsidR="00D96861" w:rsidRPr="00D96861" w:rsidRDefault="00D96861" w:rsidP="00D96861">
            <w:pPr>
              <w:spacing w:after="0"/>
            </w:pPr>
            <w:r w:rsidRPr="00D96861">
              <w:t xml:space="preserve">What support and education </w:t>
            </w:r>
            <w:proofErr w:type="gramStart"/>
            <w:r w:rsidRPr="00D96861">
              <w:t>is</w:t>
            </w:r>
            <w:proofErr w:type="gramEnd"/>
            <w:r w:rsidRPr="00D96861">
              <w:t xml:space="preserve"> the setting or school providing to parents/carers if the child or young person is not able to attend?</w:t>
            </w:r>
          </w:p>
        </w:tc>
        <w:tc>
          <w:tcPr>
            <w:tcW w:w="4148" w:type="dxa"/>
          </w:tcPr>
          <w:p w14:paraId="31C51E3F" w14:textId="77777777" w:rsidR="00D96861" w:rsidRPr="00D96861" w:rsidRDefault="00D96861" w:rsidP="00D96861">
            <w:pPr>
              <w:rPr>
                <w:b/>
                <w:sz w:val="32"/>
                <w:szCs w:val="32"/>
              </w:rPr>
            </w:pPr>
          </w:p>
        </w:tc>
      </w:tr>
      <w:tr w:rsidR="00D96861" w:rsidRPr="00D96861" w14:paraId="466DB761" w14:textId="77777777" w:rsidTr="006753EF">
        <w:trPr>
          <w:trHeight w:val="315"/>
        </w:trPr>
        <w:tc>
          <w:tcPr>
            <w:tcW w:w="4888" w:type="dxa"/>
          </w:tcPr>
          <w:p w14:paraId="3CD7D060" w14:textId="77777777" w:rsidR="00D96861" w:rsidRPr="00D96861" w:rsidRDefault="00D96861" w:rsidP="00D96861">
            <w:pPr>
              <w:spacing w:after="0"/>
            </w:pPr>
            <w:r w:rsidRPr="00D96861">
              <w:t>Is this a safeguarding risk – if so, please describe</w:t>
            </w:r>
          </w:p>
        </w:tc>
        <w:tc>
          <w:tcPr>
            <w:tcW w:w="4148" w:type="dxa"/>
          </w:tcPr>
          <w:p w14:paraId="3E61BBC8" w14:textId="77777777" w:rsidR="00D96861" w:rsidRPr="00D96861" w:rsidRDefault="00D96861" w:rsidP="00D96861">
            <w:pPr>
              <w:rPr>
                <w:sz w:val="24"/>
                <w:szCs w:val="24"/>
              </w:rPr>
            </w:pPr>
          </w:p>
        </w:tc>
      </w:tr>
      <w:tr w:rsidR="00D96861" w:rsidRPr="00D96861" w14:paraId="27EBEFDC" w14:textId="77777777" w:rsidTr="006753EF">
        <w:trPr>
          <w:trHeight w:val="477"/>
        </w:trPr>
        <w:tc>
          <w:tcPr>
            <w:tcW w:w="4888" w:type="dxa"/>
          </w:tcPr>
          <w:p w14:paraId="7A20E844" w14:textId="77777777" w:rsidR="00D96861" w:rsidRPr="00D96861" w:rsidRDefault="00D96861" w:rsidP="00D96861">
            <w:pPr>
              <w:spacing w:after="0"/>
            </w:pPr>
            <w:r w:rsidRPr="00D96861">
              <w:t>Who else /what other agencies need to be informed if child does not attend?</w:t>
            </w:r>
          </w:p>
        </w:tc>
        <w:tc>
          <w:tcPr>
            <w:tcW w:w="4148" w:type="dxa"/>
          </w:tcPr>
          <w:p w14:paraId="5B7B6559" w14:textId="77777777" w:rsidR="00D96861" w:rsidRPr="00D96861" w:rsidRDefault="00D96861" w:rsidP="00D96861">
            <w:pPr>
              <w:rPr>
                <w:sz w:val="24"/>
                <w:szCs w:val="24"/>
              </w:rPr>
            </w:pPr>
          </w:p>
        </w:tc>
      </w:tr>
      <w:tr w:rsidR="00D96861" w:rsidRPr="00D96861" w14:paraId="15553070" w14:textId="77777777" w:rsidTr="006753EF">
        <w:trPr>
          <w:trHeight w:val="477"/>
        </w:trPr>
        <w:tc>
          <w:tcPr>
            <w:tcW w:w="9036" w:type="dxa"/>
            <w:gridSpan w:val="2"/>
          </w:tcPr>
          <w:p w14:paraId="215D8D4F" w14:textId="77777777" w:rsidR="00D96861" w:rsidRPr="00D96861" w:rsidRDefault="00D96861" w:rsidP="00D96861">
            <w:pPr>
              <w:rPr>
                <w:rFonts w:ascii="Calibri Light" w:eastAsia="Calibri" w:hAnsi="Calibri Light" w:cs="Calibri Light"/>
                <w:b/>
                <w:bCs/>
              </w:rPr>
            </w:pPr>
            <w:r w:rsidRPr="00D96861">
              <w:rPr>
                <w:rFonts w:ascii="Calibri Light" w:eastAsia="Calibri" w:hAnsi="Calibri Light" w:cs="Calibri Light"/>
                <w:b/>
                <w:bCs/>
              </w:rPr>
              <w:lastRenderedPageBreak/>
              <w:tab/>
            </w:r>
            <w:r w:rsidRPr="00D96861">
              <w:rPr>
                <w:rFonts w:ascii="Calibri Light" w:eastAsia="Calibri" w:hAnsi="Calibri Light" w:cs="Calibri Light"/>
                <w:b/>
                <w:bCs/>
              </w:rPr>
              <w:tab/>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56"/>
            </w:tblGrid>
            <w:tr w:rsidR="00D96861" w:rsidRPr="00D96861" w14:paraId="008EE3D2" w14:textId="77777777" w:rsidTr="006753EF">
              <w:trPr>
                <w:trHeight w:val="694"/>
              </w:trPr>
              <w:tc>
                <w:tcPr>
                  <w:tcW w:w="2122" w:type="dxa"/>
                  <w:shd w:val="clear" w:color="auto" w:fill="auto"/>
                </w:tcPr>
                <w:p w14:paraId="1D02E6FE" w14:textId="77777777" w:rsidR="00D96861" w:rsidRPr="00D96861" w:rsidRDefault="00D96861" w:rsidP="00D96861">
                  <w:pPr>
                    <w:spacing w:after="0" w:line="240" w:lineRule="auto"/>
                    <w:rPr>
                      <w:rFonts w:eastAsia="Calibri" w:cstheme="minorHAnsi"/>
                      <w:bCs/>
                    </w:rPr>
                  </w:pPr>
                  <w:r w:rsidRPr="00D96861">
                    <w:rPr>
                      <w:rFonts w:eastAsia="Calibri" w:cstheme="minorHAnsi"/>
                      <w:bCs/>
                    </w:rPr>
                    <w:t>Parent/Carer Views:</w:t>
                  </w:r>
                </w:p>
              </w:tc>
              <w:tc>
                <w:tcPr>
                  <w:tcW w:w="8256" w:type="dxa"/>
                  <w:shd w:val="clear" w:color="auto" w:fill="auto"/>
                </w:tcPr>
                <w:p w14:paraId="13646934" w14:textId="77777777" w:rsidR="00D96861" w:rsidRPr="00D96861" w:rsidRDefault="00D96861" w:rsidP="00D96861">
                  <w:pPr>
                    <w:spacing w:after="0" w:line="240" w:lineRule="auto"/>
                    <w:rPr>
                      <w:rFonts w:ascii="Calibri Light" w:eastAsia="Calibri" w:hAnsi="Calibri Light" w:cs="Calibri Light"/>
                      <w:b/>
                      <w:bCs/>
                    </w:rPr>
                  </w:pPr>
                </w:p>
                <w:p w14:paraId="0E24BBF2" w14:textId="77777777" w:rsidR="00D96861" w:rsidRPr="00D96861" w:rsidRDefault="00D96861" w:rsidP="00D96861">
                  <w:pPr>
                    <w:spacing w:after="0" w:line="240" w:lineRule="auto"/>
                    <w:rPr>
                      <w:rFonts w:ascii="Calibri Light" w:eastAsia="Calibri" w:hAnsi="Calibri Light" w:cs="Calibri Light"/>
                      <w:b/>
                      <w:bCs/>
                    </w:rPr>
                  </w:pPr>
                </w:p>
                <w:p w14:paraId="324AF467" w14:textId="77777777" w:rsidR="00D96861" w:rsidRPr="00D96861" w:rsidRDefault="00D96861" w:rsidP="00D96861">
                  <w:pPr>
                    <w:spacing w:after="0" w:line="240" w:lineRule="auto"/>
                    <w:rPr>
                      <w:rFonts w:ascii="Calibri Light" w:eastAsia="Calibri" w:hAnsi="Calibri Light" w:cs="Calibri Light"/>
                      <w:b/>
                      <w:bCs/>
                    </w:rPr>
                  </w:pPr>
                </w:p>
              </w:tc>
            </w:tr>
            <w:tr w:rsidR="00D96861" w:rsidRPr="00D96861" w14:paraId="1624936F" w14:textId="77777777" w:rsidTr="006753EF">
              <w:trPr>
                <w:trHeight w:val="358"/>
              </w:trPr>
              <w:tc>
                <w:tcPr>
                  <w:tcW w:w="2122" w:type="dxa"/>
                  <w:shd w:val="clear" w:color="auto" w:fill="auto"/>
                </w:tcPr>
                <w:p w14:paraId="04C69EF3" w14:textId="77777777" w:rsidR="00D96861" w:rsidRPr="00D96861" w:rsidRDefault="00D96861" w:rsidP="00D96861">
                  <w:pPr>
                    <w:spacing w:after="0" w:line="240" w:lineRule="auto"/>
                    <w:rPr>
                      <w:rFonts w:eastAsia="Calibri" w:cstheme="minorHAnsi"/>
                      <w:bCs/>
                    </w:rPr>
                  </w:pPr>
                  <w:r w:rsidRPr="00D96861">
                    <w:rPr>
                      <w:rFonts w:eastAsia="Calibri" w:cstheme="minorHAnsi"/>
                      <w:bCs/>
                    </w:rPr>
                    <w:t xml:space="preserve">Child’s View </w:t>
                  </w:r>
                </w:p>
                <w:p w14:paraId="52CC7179" w14:textId="77777777" w:rsidR="00D96861" w:rsidRPr="00D96861" w:rsidRDefault="00D96861" w:rsidP="00D96861">
                  <w:pPr>
                    <w:spacing w:after="0" w:line="240" w:lineRule="auto"/>
                    <w:rPr>
                      <w:rFonts w:eastAsia="Calibri" w:cstheme="minorHAnsi"/>
                      <w:bCs/>
                    </w:rPr>
                  </w:pPr>
                  <w:r w:rsidRPr="00D96861">
                    <w:rPr>
                      <w:rFonts w:eastAsia="Calibri" w:cstheme="minorHAnsi"/>
                      <w:bCs/>
                    </w:rPr>
                    <w:t>(if appropriate):</w:t>
                  </w:r>
                </w:p>
              </w:tc>
              <w:tc>
                <w:tcPr>
                  <w:tcW w:w="8256" w:type="dxa"/>
                  <w:shd w:val="clear" w:color="auto" w:fill="auto"/>
                </w:tcPr>
                <w:p w14:paraId="0829FFD7" w14:textId="77777777" w:rsidR="00D96861" w:rsidRPr="00D96861" w:rsidRDefault="00D96861" w:rsidP="00D96861">
                  <w:pPr>
                    <w:spacing w:after="0" w:line="240" w:lineRule="auto"/>
                    <w:rPr>
                      <w:rFonts w:ascii="Calibri Light" w:eastAsia="Calibri" w:hAnsi="Calibri Light" w:cs="Calibri Light"/>
                      <w:b/>
                      <w:bCs/>
                    </w:rPr>
                  </w:pPr>
                </w:p>
                <w:p w14:paraId="4E489D44" w14:textId="77777777" w:rsidR="00D96861" w:rsidRPr="00D96861" w:rsidRDefault="00D96861" w:rsidP="00D96861">
                  <w:pPr>
                    <w:spacing w:after="0" w:line="240" w:lineRule="auto"/>
                    <w:rPr>
                      <w:rFonts w:ascii="Calibri Light" w:eastAsia="Calibri" w:hAnsi="Calibri Light" w:cs="Calibri Light"/>
                      <w:b/>
                      <w:bCs/>
                    </w:rPr>
                  </w:pPr>
                </w:p>
                <w:p w14:paraId="52C62274" w14:textId="77777777" w:rsidR="00D96861" w:rsidRPr="00D96861" w:rsidRDefault="00D96861" w:rsidP="00D96861">
                  <w:pPr>
                    <w:spacing w:after="0" w:line="240" w:lineRule="auto"/>
                    <w:rPr>
                      <w:rFonts w:ascii="Calibri Light" w:eastAsia="Calibri" w:hAnsi="Calibri Light" w:cs="Calibri Light"/>
                      <w:b/>
                      <w:bCs/>
                    </w:rPr>
                  </w:pPr>
                </w:p>
              </w:tc>
            </w:tr>
          </w:tbl>
          <w:p w14:paraId="1438D441" w14:textId="77777777" w:rsidR="00D96861" w:rsidRPr="00D96861" w:rsidRDefault="00D96861" w:rsidP="00D96861">
            <w:pPr>
              <w:spacing w:after="0"/>
              <w:jc w:val="center"/>
              <w:rPr>
                <w:rFonts w:eastAsia="Calibri" w:cstheme="minorHAnsi"/>
                <w:b/>
                <w:bCs/>
                <w:color w:val="44546A" w:themeColor="text2"/>
              </w:rPr>
            </w:pPr>
          </w:p>
          <w:p w14:paraId="63338DAA" w14:textId="427E3F03" w:rsidR="00D96861" w:rsidRPr="00D96861" w:rsidRDefault="00D96861" w:rsidP="00D96861">
            <w:pPr>
              <w:spacing w:after="0"/>
              <w:rPr>
                <w:rFonts w:eastAsia="Calibri" w:cstheme="minorHAnsi"/>
                <w:b/>
                <w:bCs/>
                <w:iCs/>
                <w:color w:val="44546A" w:themeColor="text2"/>
                <w:u w:val="single"/>
              </w:rPr>
            </w:pPr>
            <w:r w:rsidRPr="00D96861">
              <w:rPr>
                <w:rFonts w:eastAsia="Calibri" w:cstheme="minorHAnsi"/>
                <w:b/>
                <w:bCs/>
                <w:iCs/>
                <w:color w:val="44546A" w:themeColor="text2"/>
                <w:u w:val="single"/>
              </w:rPr>
              <w:t xml:space="preserve">From </w:t>
            </w:r>
            <w:r>
              <w:rPr>
                <w:rFonts w:eastAsia="Calibri" w:cstheme="minorHAnsi"/>
                <w:b/>
                <w:bCs/>
                <w:iCs/>
                <w:color w:val="44546A" w:themeColor="text2"/>
                <w:u w:val="single"/>
              </w:rPr>
              <w:t>8</w:t>
            </w:r>
            <w:r w:rsidRPr="00D96861">
              <w:rPr>
                <w:rFonts w:eastAsia="Calibri" w:cstheme="minorHAnsi"/>
                <w:b/>
                <w:bCs/>
                <w:iCs/>
                <w:color w:val="44546A" w:themeColor="text2"/>
                <w:u w:val="single"/>
                <w:vertAlign w:val="superscript"/>
              </w:rPr>
              <w:t>th</w:t>
            </w:r>
            <w:r>
              <w:rPr>
                <w:rFonts w:eastAsia="Calibri" w:cstheme="minorHAnsi"/>
                <w:b/>
                <w:bCs/>
                <w:iCs/>
                <w:color w:val="44546A" w:themeColor="text2"/>
                <w:u w:val="single"/>
              </w:rPr>
              <w:t xml:space="preserve"> March, all pupils are expected to attend school unless a statutory reason applies.</w:t>
            </w:r>
          </w:p>
          <w:p w14:paraId="4BCE9A9C" w14:textId="77777777" w:rsidR="00D96861" w:rsidRPr="00D96861" w:rsidRDefault="00D96861" w:rsidP="00D96861">
            <w:pPr>
              <w:spacing w:after="0"/>
              <w:rPr>
                <w:rFonts w:eastAsia="Calibri" w:cstheme="minorHAnsi"/>
                <w:b/>
                <w:bCs/>
                <w:iCs/>
                <w:color w:val="44546A" w:themeColor="text2"/>
                <w:u w:val="single"/>
              </w:rPr>
            </w:pPr>
          </w:p>
          <w:p w14:paraId="2EDC29B2" w14:textId="1E8F74B6" w:rsidR="00CD6A6F" w:rsidRPr="00D96861" w:rsidRDefault="00D96861" w:rsidP="00D96861">
            <w:pPr>
              <w:spacing w:after="0"/>
              <w:rPr>
                <w:rFonts w:eastAsia="Calibri" w:cstheme="minorHAnsi"/>
                <w:b/>
                <w:bCs/>
                <w:iCs/>
                <w:color w:val="44546A" w:themeColor="text2"/>
              </w:rPr>
            </w:pPr>
            <w:r w:rsidRPr="00D96861">
              <w:rPr>
                <w:rFonts w:eastAsia="Calibri" w:cstheme="minorHAnsi"/>
                <w:b/>
                <w:bCs/>
                <w:iCs/>
                <w:color w:val="44546A" w:themeColor="text2"/>
              </w:rPr>
              <w:t xml:space="preserve">Pupil level risk assessments </w:t>
            </w:r>
            <w:r>
              <w:rPr>
                <w:rFonts w:eastAsia="Calibri" w:cstheme="minorHAnsi"/>
                <w:b/>
                <w:bCs/>
                <w:iCs/>
                <w:color w:val="44546A" w:themeColor="text2"/>
              </w:rPr>
              <w:t>may be used to support</w:t>
            </w:r>
            <w:r w:rsidRPr="00D96861">
              <w:rPr>
                <w:rFonts w:eastAsia="Calibri" w:cstheme="minorHAnsi"/>
                <w:b/>
                <w:bCs/>
                <w:iCs/>
                <w:color w:val="44546A" w:themeColor="text2"/>
              </w:rPr>
              <w:t xml:space="preserve"> pupils and the staff working with them a</w:t>
            </w:r>
            <w:r w:rsidR="00CD40E7">
              <w:rPr>
                <w:rFonts w:eastAsia="Calibri" w:cstheme="minorHAnsi"/>
                <w:b/>
                <w:bCs/>
                <w:iCs/>
                <w:color w:val="44546A" w:themeColor="text2"/>
              </w:rPr>
              <w:t>nd should not be used as</w:t>
            </w:r>
            <w:r>
              <w:rPr>
                <w:rFonts w:eastAsia="Calibri" w:cstheme="minorHAnsi"/>
                <w:b/>
                <w:bCs/>
                <w:iCs/>
                <w:color w:val="44546A" w:themeColor="text2"/>
              </w:rPr>
              <w:t xml:space="preserve"> a reason to deny</w:t>
            </w:r>
            <w:r w:rsidRPr="00D96861">
              <w:rPr>
                <w:rFonts w:eastAsia="Calibri" w:cstheme="minorHAnsi"/>
                <w:b/>
                <w:bCs/>
                <w:iCs/>
                <w:color w:val="44546A" w:themeColor="text2"/>
              </w:rPr>
              <w:t xml:space="preserve"> pupils face-to-face education.</w:t>
            </w:r>
          </w:p>
          <w:p w14:paraId="49643F8E" w14:textId="77777777" w:rsidR="00D96861" w:rsidRPr="00D96861" w:rsidRDefault="00D96861" w:rsidP="00D96861">
            <w:pPr>
              <w:spacing w:after="0"/>
              <w:jc w:val="center"/>
              <w:rPr>
                <w:rFonts w:eastAsia="Calibri" w:cstheme="minorHAnsi"/>
                <w:b/>
                <w:bCs/>
                <w:iCs/>
                <w:color w:val="44546A" w:themeColor="text2"/>
              </w:rPr>
            </w:pPr>
          </w:p>
          <w:p w14:paraId="25E71882" w14:textId="77777777" w:rsidR="00D96861" w:rsidRPr="00D96861" w:rsidRDefault="00D96861" w:rsidP="00D96861">
            <w:pPr>
              <w:spacing w:after="0"/>
              <w:rPr>
                <w:rFonts w:eastAsia="Calibri" w:cstheme="minorHAnsi"/>
                <w:bCs/>
                <w:iCs/>
                <w:color w:val="44546A" w:themeColor="text2"/>
              </w:rPr>
            </w:pPr>
            <w:r w:rsidRPr="00D96861">
              <w:rPr>
                <w:rFonts w:eastAsia="Calibri" w:cstheme="minorHAnsi"/>
                <w:bCs/>
                <w:iCs/>
                <w:color w:val="44546A" w:themeColor="text2"/>
              </w:rPr>
              <w:t>This risk assessment has determined the following:</w:t>
            </w:r>
          </w:p>
          <w:p w14:paraId="2DA3F89D" w14:textId="77777777" w:rsidR="00D96861" w:rsidRPr="00D96861" w:rsidRDefault="00D96861" w:rsidP="00D96861">
            <w:pPr>
              <w:numPr>
                <w:ilvl w:val="0"/>
                <w:numId w:val="25"/>
              </w:numPr>
              <w:spacing w:after="0"/>
              <w:contextualSpacing/>
              <w:rPr>
                <w:rFonts w:eastAsia="Calibri" w:cstheme="minorHAnsi"/>
                <w:bCs/>
                <w:i/>
                <w:iCs/>
                <w:color w:val="44546A" w:themeColor="text2"/>
              </w:rPr>
            </w:pPr>
            <w:r w:rsidRPr="00D96861">
              <w:rPr>
                <w:rFonts w:eastAsia="Calibri" w:cstheme="minorHAnsi"/>
                <w:bCs/>
                <w:i/>
                <w:iCs/>
                <w:color w:val="44546A" w:themeColor="text2"/>
              </w:rPr>
              <w:t xml:space="preserve">Please insert summary statement or bullet points </w:t>
            </w:r>
          </w:p>
          <w:p w14:paraId="06855A28" w14:textId="77777777" w:rsidR="00D96861" w:rsidRPr="00D96861" w:rsidRDefault="00D96861" w:rsidP="00D96861">
            <w:pPr>
              <w:numPr>
                <w:ilvl w:val="0"/>
                <w:numId w:val="25"/>
              </w:numPr>
              <w:spacing w:after="0"/>
              <w:contextualSpacing/>
              <w:rPr>
                <w:rFonts w:eastAsia="Calibri" w:cstheme="minorHAnsi"/>
                <w:bCs/>
                <w:i/>
                <w:iCs/>
                <w:color w:val="44546A" w:themeColor="text2"/>
              </w:rPr>
            </w:pPr>
            <w:r w:rsidRPr="00D96861">
              <w:rPr>
                <w:rFonts w:eastAsia="Calibri" w:cstheme="minorHAnsi"/>
                <w:bCs/>
                <w:i/>
                <w:iCs/>
                <w:color w:val="44546A" w:themeColor="text2"/>
              </w:rPr>
              <w:t xml:space="preserve">Outline what additional support children and young people with SEND may need to access </w:t>
            </w:r>
            <w:proofErr w:type="gramStart"/>
            <w:r w:rsidRPr="00D96861">
              <w:rPr>
                <w:rFonts w:eastAsia="Calibri" w:cstheme="minorHAnsi"/>
                <w:bCs/>
                <w:i/>
                <w:iCs/>
                <w:color w:val="44546A" w:themeColor="text2"/>
              </w:rPr>
              <w:t>education</w:t>
            </w:r>
            <w:proofErr w:type="gramEnd"/>
          </w:p>
          <w:p w14:paraId="44E07012" w14:textId="77777777" w:rsidR="00D96861" w:rsidRPr="00D96861" w:rsidRDefault="00D96861" w:rsidP="00D96861">
            <w:pPr>
              <w:spacing w:after="0"/>
              <w:rPr>
                <w:rFonts w:eastAsia="Calibri" w:cstheme="minorHAnsi"/>
                <w:bCs/>
              </w:rPr>
            </w:pPr>
          </w:p>
          <w:p w14:paraId="71383D93" w14:textId="77777777" w:rsidR="00D96861" w:rsidRPr="00D96861" w:rsidRDefault="00D96861" w:rsidP="00D96861">
            <w:pPr>
              <w:spacing w:after="0"/>
              <w:rPr>
                <w:rFonts w:eastAsia="Calibri" w:cstheme="minorHAnsi"/>
                <w:b/>
                <w:bCs/>
                <w:color w:val="44546A" w:themeColor="text2"/>
              </w:rPr>
            </w:pPr>
          </w:p>
          <w:p w14:paraId="159F24D8" w14:textId="77777777" w:rsidR="00D96861" w:rsidRPr="00D96861" w:rsidRDefault="00D96861" w:rsidP="00D96861">
            <w:pPr>
              <w:spacing w:after="0"/>
              <w:jc w:val="center"/>
              <w:rPr>
                <w:rFonts w:ascii="Calibri Light" w:eastAsia="Calibri" w:hAnsi="Calibri Light" w:cs="Calibri Light"/>
                <w:b/>
                <w:bCs/>
              </w:rPr>
            </w:pPr>
          </w:p>
        </w:tc>
      </w:tr>
      <w:tr w:rsidR="00D96861" w:rsidRPr="00D96861" w14:paraId="54527D50" w14:textId="77777777" w:rsidTr="006753EF">
        <w:trPr>
          <w:trHeight w:val="477"/>
        </w:trPr>
        <w:tc>
          <w:tcPr>
            <w:tcW w:w="9036" w:type="dxa"/>
            <w:gridSpan w:val="2"/>
          </w:tcPr>
          <w:p w14:paraId="002FF47C" w14:textId="77777777" w:rsidR="00D96861" w:rsidRPr="00D96861" w:rsidRDefault="00D96861" w:rsidP="00D96861">
            <w:pPr>
              <w:spacing w:after="0"/>
              <w:rPr>
                <w:sz w:val="18"/>
                <w:szCs w:val="18"/>
              </w:rPr>
            </w:pPr>
            <w:r w:rsidRPr="00D96861">
              <w:rPr>
                <w:sz w:val="18"/>
                <w:szCs w:val="18"/>
              </w:rPr>
              <w:t xml:space="preserve">The person completing this risk assessment should ensure that if the Local Authority is not the assessor / joint assessor, then the Local Authority is informed of the outcome and any relevant risks.  </w:t>
            </w:r>
          </w:p>
          <w:p w14:paraId="4AC2EA93" w14:textId="77777777" w:rsidR="00D96861" w:rsidRPr="00D96861" w:rsidRDefault="00D96861" w:rsidP="00D96861">
            <w:pPr>
              <w:spacing w:after="0"/>
              <w:rPr>
                <w:sz w:val="18"/>
                <w:szCs w:val="18"/>
              </w:rPr>
            </w:pPr>
          </w:p>
          <w:p w14:paraId="32ADE5B7" w14:textId="77777777" w:rsidR="00D96861" w:rsidRPr="00D96861" w:rsidRDefault="00D96861" w:rsidP="00D96861">
            <w:pPr>
              <w:spacing w:after="0"/>
              <w:rPr>
                <w:sz w:val="18"/>
                <w:szCs w:val="18"/>
              </w:rPr>
            </w:pPr>
            <w:r w:rsidRPr="00D96861">
              <w:rPr>
                <w:sz w:val="18"/>
                <w:szCs w:val="18"/>
              </w:rPr>
              <w:t xml:space="preserve">Document to be stored confidentially.  </w:t>
            </w:r>
          </w:p>
        </w:tc>
      </w:tr>
    </w:tbl>
    <w:p w14:paraId="7B9E4C1D" w14:textId="77777777" w:rsidR="00D96861" w:rsidRPr="00D96861" w:rsidRDefault="00D96861" w:rsidP="00D96861">
      <w:pPr>
        <w:rPr>
          <w:i/>
        </w:rPr>
      </w:pPr>
    </w:p>
    <w:p w14:paraId="3A5FB83A" w14:textId="62B58B42" w:rsidR="002D5F8D" w:rsidRPr="009A754E" w:rsidRDefault="002D5F8D" w:rsidP="00D96861">
      <w:pPr>
        <w:rPr>
          <w:i/>
        </w:rPr>
      </w:pPr>
    </w:p>
    <w:sectPr w:rsidR="002D5F8D" w:rsidRPr="009A754E" w:rsidSect="00E237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0D35" w14:textId="77777777" w:rsidR="002F5377" w:rsidRDefault="002F5377" w:rsidP="0050436A">
      <w:pPr>
        <w:spacing w:after="0" w:line="240" w:lineRule="auto"/>
      </w:pPr>
      <w:r>
        <w:separator/>
      </w:r>
    </w:p>
  </w:endnote>
  <w:endnote w:type="continuationSeparator" w:id="0">
    <w:p w14:paraId="3D171D19" w14:textId="77777777" w:rsidR="002F5377" w:rsidRDefault="002F5377" w:rsidP="005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6521131"/>
      <w:docPartObj>
        <w:docPartGallery w:val="Page Numbers (Bottom of Page)"/>
        <w:docPartUnique/>
      </w:docPartObj>
    </w:sdtPr>
    <w:sdtEndPr>
      <w:rPr>
        <w:rStyle w:val="PageNumber"/>
      </w:rPr>
    </w:sdtEndPr>
    <w:sdtContent>
      <w:p w14:paraId="25EBD2DE" w14:textId="5D1CA7E8" w:rsidR="006753EF" w:rsidRDefault="006753EF" w:rsidP="000F1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F1596" w14:textId="77777777" w:rsidR="006753EF" w:rsidRDefault="006753EF" w:rsidP="00806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0844781"/>
      <w:docPartObj>
        <w:docPartGallery w:val="Page Numbers (Bottom of Page)"/>
        <w:docPartUnique/>
      </w:docPartObj>
    </w:sdtPr>
    <w:sdtEndPr>
      <w:rPr>
        <w:rStyle w:val="PageNumber"/>
      </w:rPr>
    </w:sdtEndPr>
    <w:sdtContent>
      <w:p w14:paraId="7F12C693" w14:textId="78133FC8" w:rsidR="006753EF" w:rsidRDefault="006753EF" w:rsidP="000F1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5A57">
          <w:rPr>
            <w:rStyle w:val="PageNumber"/>
            <w:noProof/>
          </w:rPr>
          <w:t>12</w:t>
        </w:r>
        <w:r>
          <w:rPr>
            <w:rStyle w:val="PageNumber"/>
          </w:rPr>
          <w:fldChar w:fldCharType="end"/>
        </w:r>
      </w:p>
    </w:sdtContent>
  </w:sdt>
  <w:p w14:paraId="206C8ABA" w14:textId="77777777" w:rsidR="006753EF" w:rsidRDefault="006753EF" w:rsidP="00806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CED7" w14:textId="77777777" w:rsidR="002F5377" w:rsidRDefault="002F5377" w:rsidP="0050436A">
      <w:pPr>
        <w:spacing w:after="0" w:line="240" w:lineRule="auto"/>
      </w:pPr>
      <w:r>
        <w:separator/>
      </w:r>
    </w:p>
  </w:footnote>
  <w:footnote w:type="continuationSeparator" w:id="0">
    <w:p w14:paraId="38913162" w14:textId="77777777" w:rsidR="002F5377" w:rsidRDefault="002F5377" w:rsidP="0050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48CF" w14:textId="77777777" w:rsidR="006753EF" w:rsidRDefault="006753EF" w:rsidP="0050436A">
    <w:pPr>
      <w:pStyle w:val="Header"/>
      <w:jc w:val="right"/>
    </w:pPr>
    <w:r>
      <w:rPr>
        <w:noProof/>
        <w:lang w:eastAsia="en-GB"/>
      </w:rPr>
      <w:drawing>
        <wp:inline distT="0" distB="0" distL="0" distR="0" wp14:anchorId="1CE0EB67" wp14:editId="034DFEF5">
          <wp:extent cx="609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50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7CB6"/>
    <w:multiLevelType w:val="hybridMultilevel"/>
    <w:tmpl w:val="57BE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6476"/>
    <w:multiLevelType w:val="hybridMultilevel"/>
    <w:tmpl w:val="99B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14D2"/>
    <w:multiLevelType w:val="multilevel"/>
    <w:tmpl w:val="E2F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571B7"/>
    <w:multiLevelType w:val="hybridMultilevel"/>
    <w:tmpl w:val="7AB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50102"/>
    <w:multiLevelType w:val="hybridMultilevel"/>
    <w:tmpl w:val="384AC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51EF6"/>
    <w:multiLevelType w:val="hybridMultilevel"/>
    <w:tmpl w:val="DBE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F2B84"/>
    <w:multiLevelType w:val="multilevel"/>
    <w:tmpl w:val="3E28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6464C"/>
    <w:multiLevelType w:val="hybridMultilevel"/>
    <w:tmpl w:val="20442F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C4C58CA"/>
    <w:multiLevelType w:val="hybridMultilevel"/>
    <w:tmpl w:val="1DF0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810DE"/>
    <w:multiLevelType w:val="hybridMultilevel"/>
    <w:tmpl w:val="851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405AF"/>
    <w:multiLevelType w:val="hybridMultilevel"/>
    <w:tmpl w:val="EFBE0A76"/>
    <w:lvl w:ilvl="0" w:tplc="D2C0B43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02B16"/>
    <w:multiLevelType w:val="hybridMultilevel"/>
    <w:tmpl w:val="5118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90450"/>
    <w:multiLevelType w:val="hybridMultilevel"/>
    <w:tmpl w:val="A70850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97DBB"/>
    <w:multiLevelType w:val="hybridMultilevel"/>
    <w:tmpl w:val="7F3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10C88"/>
    <w:multiLevelType w:val="hybridMultilevel"/>
    <w:tmpl w:val="DB1A04BC"/>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34207470"/>
    <w:multiLevelType w:val="hybridMultilevel"/>
    <w:tmpl w:val="6A88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F6B19"/>
    <w:multiLevelType w:val="hybridMultilevel"/>
    <w:tmpl w:val="FBD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926C4"/>
    <w:multiLevelType w:val="hybridMultilevel"/>
    <w:tmpl w:val="EA22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0541D"/>
    <w:multiLevelType w:val="hybridMultilevel"/>
    <w:tmpl w:val="6B7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17561"/>
    <w:multiLevelType w:val="hybridMultilevel"/>
    <w:tmpl w:val="9732D1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425F7666"/>
    <w:multiLevelType w:val="hybridMultilevel"/>
    <w:tmpl w:val="DF904416"/>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B22ED"/>
    <w:multiLevelType w:val="hybridMultilevel"/>
    <w:tmpl w:val="60064EDC"/>
    <w:lvl w:ilvl="0" w:tplc="6ABAE0B0">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45697"/>
    <w:multiLevelType w:val="hybridMultilevel"/>
    <w:tmpl w:val="3A3C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308BF"/>
    <w:multiLevelType w:val="hybridMultilevel"/>
    <w:tmpl w:val="6186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21B03"/>
    <w:multiLevelType w:val="multilevel"/>
    <w:tmpl w:val="DB9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4B45E0"/>
    <w:multiLevelType w:val="hybridMultilevel"/>
    <w:tmpl w:val="1E6E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33216"/>
    <w:multiLevelType w:val="hybridMultilevel"/>
    <w:tmpl w:val="590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36675"/>
    <w:multiLevelType w:val="hybridMultilevel"/>
    <w:tmpl w:val="35B4C41E"/>
    <w:lvl w:ilvl="0" w:tplc="08090003">
      <w:start w:val="1"/>
      <w:numFmt w:val="bullet"/>
      <w:lvlText w:val="o"/>
      <w:lvlJc w:val="left"/>
      <w:pPr>
        <w:ind w:left="1590" w:hanging="360"/>
      </w:pPr>
      <w:rPr>
        <w:rFonts w:ascii="Courier New" w:hAnsi="Courier New" w:cs="Courier New"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0" w15:restartNumberingAfterBreak="0">
    <w:nsid w:val="6018429E"/>
    <w:multiLevelType w:val="hybridMultilevel"/>
    <w:tmpl w:val="BB46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F4414"/>
    <w:multiLevelType w:val="hybridMultilevel"/>
    <w:tmpl w:val="EEC474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EC549EC"/>
    <w:multiLevelType w:val="hybridMultilevel"/>
    <w:tmpl w:val="4806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62A15"/>
    <w:multiLevelType w:val="hybridMultilevel"/>
    <w:tmpl w:val="A526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B28F0"/>
    <w:multiLevelType w:val="hybridMultilevel"/>
    <w:tmpl w:val="FEB0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0"/>
  </w:num>
  <w:num w:numId="3">
    <w:abstractNumId w:val="18"/>
  </w:num>
  <w:num w:numId="4">
    <w:abstractNumId w:val="12"/>
  </w:num>
  <w:num w:numId="5">
    <w:abstractNumId w:val="15"/>
  </w:num>
  <w:num w:numId="6">
    <w:abstractNumId w:val="22"/>
  </w:num>
  <w:num w:numId="7">
    <w:abstractNumId w:val="23"/>
  </w:num>
  <w:num w:numId="8">
    <w:abstractNumId w:val="34"/>
  </w:num>
  <w:num w:numId="9">
    <w:abstractNumId w:val="19"/>
  </w:num>
  <w:num w:numId="10">
    <w:abstractNumId w:val="3"/>
  </w:num>
  <w:num w:numId="11">
    <w:abstractNumId w:val="24"/>
  </w:num>
  <w:num w:numId="12">
    <w:abstractNumId w:val="10"/>
  </w:num>
  <w:num w:numId="13">
    <w:abstractNumId w:val="14"/>
  </w:num>
  <w:num w:numId="14">
    <w:abstractNumId w:val="11"/>
  </w:num>
  <w:num w:numId="15">
    <w:abstractNumId w:val="4"/>
  </w:num>
  <w:num w:numId="16">
    <w:abstractNumId w:val="5"/>
  </w:num>
  <w:num w:numId="17">
    <w:abstractNumId w:val="13"/>
  </w:num>
  <w:num w:numId="18">
    <w:abstractNumId w:val="1"/>
  </w:num>
  <w:num w:numId="19">
    <w:abstractNumId w:val="0"/>
  </w:num>
  <w:num w:numId="20">
    <w:abstractNumId w:val="26"/>
  </w:num>
  <w:num w:numId="21">
    <w:abstractNumId w:val="7"/>
  </w:num>
  <w:num w:numId="22">
    <w:abstractNumId w:val="25"/>
  </w:num>
  <w:num w:numId="23">
    <w:abstractNumId w:val="21"/>
  </w:num>
  <w:num w:numId="24">
    <w:abstractNumId w:val="20"/>
  </w:num>
  <w:num w:numId="25">
    <w:abstractNumId w:val="28"/>
  </w:num>
  <w:num w:numId="26">
    <w:abstractNumId w:val="2"/>
  </w:num>
  <w:num w:numId="27">
    <w:abstractNumId w:val="8"/>
  </w:num>
  <w:num w:numId="28">
    <w:abstractNumId w:val="32"/>
  </w:num>
  <w:num w:numId="29">
    <w:abstractNumId w:val="27"/>
  </w:num>
  <w:num w:numId="30">
    <w:abstractNumId w:val="29"/>
  </w:num>
  <w:num w:numId="31">
    <w:abstractNumId w:val="33"/>
  </w:num>
  <w:num w:numId="32">
    <w:abstractNumId w:val="6"/>
  </w:num>
  <w:num w:numId="33">
    <w:abstractNumId w:val="9"/>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8D"/>
    <w:rsid w:val="000017ED"/>
    <w:rsid w:val="00016668"/>
    <w:rsid w:val="0003010D"/>
    <w:rsid w:val="00030648"/>
    <w:rsid w:val="0003244D"/>
    <w:rsid w:val="0003347F"/>
    <w:rsid w:val="0003564C"/>
    <w:rsid w:val="00043CB5"/>
    <w:rsid w:val="00047FAD"/>
    <w:rsid w:val="00061361"/>
    <w:rsid w:val="000675FC"/>
    <w:rsid w:val="00067F06"/>
    <w:rsid w:val="00091D45"/>
    <w:rsid w:val="00097E2E"/>
    <w:rsid w:val="000A6784"/>
    <w:rsid w:val="000B0D0F"/>
    <w:rsid w:val="000C7799"/>
    <w:rsid w:val="000D3D45"/>
    <w:rsid w:val="000E368E"/>
    <w:rsid w:val="000F131A"/>
    <w:rsid w:val="000F62E3"/>
    <w:rsid w:val="00100C31"/>
    <w:rsid w:val="001046D7"/>
    <w:rsid w:val="00125E7B"/>
    <w:rsid w:val="00126571"/>
    <w:rsid w:val="001270EC"/>
    <w:rsid w:val="001304F3"/>
    <w:rsid w:val="00131B5D"/>
    <w:rsid w:val="00133F37"/>
    <w:rsid w:val="00134FBE"/>
    <w:rsid w:val="00135843"/>
    <w:rsid w:val="001425C0"/>
    <w:rsid w:val="00152B2D"/>
    <w:rsid w:val="00153328"/>
    <w:rsid w:val="00163EAF"/>
    <w:rsid w:val="0017140F"/>
    <w:rsid w:val="00173CAA"/>
    <w:rsid w:val="00177269"/>
    <w:rsid w:val="0018662D"/>
    <w:rsid w:val="00196B02"/>
    <w:rsid w:val="001A593A"/>
    <w:rsid w:val="001D3E3F"/>
    <w:rsid w:val="001D5A56"/>
    <w:rsid w:val="001D5D25"/>
    <w:rsid w:val="001D696D"/>
    <w:rsid w:val="001E2A9B"/>
    <w:rsid w:val="001E382C"/>
    <w:rsid w:val="001E640F"/>
    <w:rsid w:val="001E72F9"/>
    <w:rsid w:val="001F03E0"/>
    <w:rsid w:val="002033EE"/>
    <w:rsid w:val="00205929"/>
    <w:rsid w:val="00211BF6"/>
    <w:rsid w:val="00223FB6"/>
    <w:rsid w:val="00235D57"/>
    <w:rsid w:val="00241016"/>
    <w:rsid w:val="00241621"/>
    <w:rsid w:val="002424DD"/>
    <w:rsid w:val="00243F33"/>
    <w:rsid w:val="00244BAA"/>
    <w:rsid w:val="00247856"/>
    <w:rsid w:val="00250805"/>
    <w:rsid w:val="0025115C"/>
    <w:rsid w:val="00251D88"/>
    <w:rsid w:val="002600B0"/>
    <w:rsid w:val="002613D8"/>
    <w:rsid w:val="002633D5"/>
    <w:rsid w:val="002635BE"/>
    <w:rsid w:val="00267471"/>
    <w:rsid w:val="00270C64"/>
    <w:rsid w:val="0028128A"/>
    <w:rsid w:val="00281570"/>
    <w:rsid w:val="00287445"/>
    <w:rsid w:val="00291353"/>
    <w:rsid w:val="002947FD"/>
    <w:rsid w:val="002A6069"/>
    <w:rsid w:val="002D5F8D"/>
    <w:rsid w:val="002D78C7"/>
    <w:rsid w:val="002E553D"/>
    <w:rsid w:val="002F5377"/>
    <w:rsid w:val="00305BF6"/>
    <w:rsid w:val="0030791B"/>
    <w:rsid w:val="00320353"/>
    <w:rsid w:val="00326D19"/>
    <w:rsid w:val="003336BB"/>
    <w:rsid w:val="0034086E"/>
    <w:rsid w:val="003421BF"/>
    <w:rsid w:val="00347E02"/>
    <w:rsid w:val="003635C5"/>
    <w:rsid w:val="003647E2"/>
    <w:rsid w:val="00373EF0"/>
    <w:rsid w:val="0038722F"/>
    <w:rsid w:val="0038729D"/>
    <w:rsid w:val="003A5663"/>
    <w:rsid w:val="003B1E60"/>
    <w:rsid w:val="003B2420"/>
    <w:rsid w:val="003C18D5"/>
    <w:rsid w:val="003C4771"/>
    <w:rsid w:val="003D28C7"/>
    <w:rsid w:val="003E535A"/>
    <w:rsid w:val="00410A53"/>
    <w:rsid w:val="00416BB6"/>
    <w:rsid w:val="00423209"/>
    <w:rsid w:val="00454C09"/>
    <w:rsid w:val="00457DC0"/>
    <w:rsid w:val="00457F1A"/>
    <w:rsid w:val="00466F0F"/>
    <w:rsid w:val="00482A61"/>
    <w:rsid w:val="004B7167"/>
    <w:rsid w:val="004D2F5C"/>
    <w:rsid w:val="004D42CB"/>
    <w:rsid w:val="004D5A57"/>
    <w:rsid w:val="004E2844"/>
    <w:rsid w:val="004E2BEC"/>
    <w:rsid w:val="004F0A30"/>
    <w:rsid w:val="004F6300"/>
    <w:rsid w:val="00500DF2"/>
    <w:rsid w:val="0050150E"/>
    <w:rsid w:val="0050436A"/>
    <w:rsid w:val="005100EC"/>
    <w:rsid w:val="0051443B"/>
    <w:rsid w:val="005259A6"/>
    <w:rsid w:val="00541EC0"/>
    <w:rsid w:val="00556339"/>
    <w:rsid w:val="005719CC"/>
    <w:rsid w:val="005767D3"/>
    <w:rsid w:val="00587B42"/>
    <w:rsid w:val="00587D4E"/>
    <w:rsid w:val="005A34B5"/>
    <w:rsid w:val="005A5F41"/>
    <w:rsid w:val="005B53F7"/>
    <w:rsid w:val="005E1CC3"/>
    <w:rsid w:val="005E238F"/>
    <w:rsid w:val="005E4EE2"/>
    <w:rsid w:val="005F7A0C"/>
    <w:rsid w:val="006003C8"/>
    <w:rsid w:val="00605F07"/>
    <w:rsid w:val="006107B5"/>
    <w:rsid w:val="006202B6"/>
    <w:rsid w:val="00621769"/>
    <w:rsid w:val="00626877"/>
    <w:rsid w:val="00636ED6"/>
    <w:rsid w:val="006520B6"/>
    <w:rsid w:val="006753EF"/>
    <w:rsid w:val="006904B7"/>
    <w:rsid w:val="006925BF"/>
    <w:rsid w:val="00693984"/>
    <w:rsid w:val="00694A39"/>
    <w:rsid w:val="006A038E"/>
    <w:rsid w:val="006A0BB5"/>
    <w:rsid w:val="006A4AA5"/>
    <w:rsid w:val="006A6D59"/>
    <w:rsid w:val="006C3DE9"/>
    <w:rsid w:val="006D2290"/>
    <w:rsid w:val="006D3D1B"/>
    <w:rsid w:val="006F37FA"/>
    <w:rsid w:val="00705D85"/>
    <w:rsid w:val="00706249"/>
    <w:rsid w:val="00710D58"/>
    <w:rsid w:val="00711F99"/>
    <w:rsid w:val="00712388"/>
    <w:rsid w:val="00721A6F"/>
    <w:rsid w:val="00726582"/>
    <w:rsid w:val="007416F7"/>
    <w:rsid w:val="00753EC0"/>
    <w:rsid w:val="0076099E"/>
    <w:rsid w:val="00760B07"/>
    <w:rsid w:val="007736DF"/>
    <w:rsid w:val="007913E7"/>
    <w:rsid w:val="00795A06"/>
    <w:rsid w:val="00796021"/>
    <w:rsid w:val="00796915"/>
    <w:rsid w:val="00796C95"/>
    <w:rsid w:val="007A1AE4"/>
    <w:rsid w:val="007A593D"/>
    <w:rsid w:val="007B0200"/>
    <w:rsid w:val="007D7F83"/>
    <w:rsid w:val="007E1071"/>
    <w:rsid w:val="007F359C"/>
    <w:rsid w:val="00806B91"/>
    <w:rsid w:val="00812A24"/>
    <w:rsid w:val="008372A4"/>
    <w:rsid w:val="00850979"/>
    <w:rsid w:val="00852753"/>
    <w:rsid w:val="008563C9"/>
    <w:rsid w:val="00860FE9"/>
    <w:rsid w:val="00863475"/>
    <w:rsid w:val="00865BE5"/>
    <w:rsid w:val="00866EE5"/>
    <w:rsid w:val="00867130"/>
    <w:rsid w:val="008706B1"/>
    <w:rsid w:val="0087376C"/>
    <w:rsid w:val="00882FDA"/>
    <w:rsid w:val="00890C15"/>
    <w:rsid w:val="008933A2"/>
    <w:rsid w:val="008943A8"/>
    <w:rsid w:val="00895DAE"/>
    <w:rsid w:val="008A16B9"/>
    <w:rsid w:val="008B35BE"/>
    <w:rsid w:val="008C4552"/>
    <w:rsid w:val="008C5ACB"/>
    <w:rsid w:val="008C765B"/>
    <w:rsid w:val="008F313F"/>
    <w:rsid w:val="008F5E8D"/>
    <w:rsid w:val="00907E76"/>
    <w:rsid w:val="009121A7"/>
    <w:rsid w:val="00925EF2"/>
    <w:rsid w:val="00930027"/>
    <w:rsid w:val="00937E35"/>
    <w:rsid w:val="00956504"/>
    <w:rsid w:val="009624B8"/>
    <w:rsid w:val="00962679"/>
    <w:rsid w:val="00962FEB"/>
    <w:rsid w:val="00967C78"/>
    <w:rsid w:val="009773ED"/>
    <w:rsid w:val="00980578"/>
    <w:rsid w:val="00984CFD"/>
    <w:rsid w:val="00991E90"/>
    <w:rsid w:val="009A1382"/>
    <w:rsid w:val="009A62F1"/>
    <w:rsid w:val="009A754E"/>
    <w:rsid w:val="009C316C"/>
    <w:rsid w:val="009E06B4"/>
    <w:rsid w:val="009E071C"/>
    <w:rsid w:val="009F3705"/>
    <w:rsid w:val="00A03442"/>
    <w:rsid w:val="00A04A58"/>
    <w:rsid w:val="00A0717C"/>
    <w:rsid w:val="00A2098B"/>
    <w:rsid w:val="00A35854"/>
    <w:rsid w:val="00A3785F"/>
    <w:rsid w:val="00A42595"/>
    <w:rsid w:val="00A43C04"/>
    <w:rsid w:val="00A4637A"/>
    <w:rsid w:val="00A53360"/>
    <w:rsid w:val="00A73619"/>
    <w:rsid w:val="00A74397"/>
    <w:rsid w:val="00A95572"/>
    <w:rsid w:val="00AA0AE2"/>
    <w:rsid w:val="00AB47A0"/>
    <w:rsid w:val="00AB4863"/>
    <w:rsid w:val="00AB679C"/>
    <w:rsid w:val="00AD2635"/>
    <w:rsid w:val="00AD6584"/>
    <w:rsid w:val="00AF75F5"/>
    <w:rsid w:val="00B00349"/>
    <w:rsid w:val="00B42DB9"/>
    <w:rsid w:val="00B50BDB"/>
    <w:rsid w:val="00B57B13"/>
    <w:rsid w:val="00B607BF"/>
    <w:rsid w:val="00B720F5"/>
    <w:rsid w:val="00B87AC3"/>
    <w:rsid w:val="00BA1365"/>
    <w:rsid w:val="00BB693C"/>
    <w:rsid w:val="00BC195C"/>
    <w:rsid w:val="00BC7527"/>
    <w:rsid w:val="00BD2E3E"/>
    <w:rsid w:val="00BE2465"/>
    <w:rsid w:val="00BE3285"/>
    <w:rsid w:val="00BF0D3E"/>
    <w:rsid w:val="00C01329"/>
    <w:rsid w:val="00C05860"/>
    <w:rsid w:val="00C11486"/>
    <w:rsid w:val="00C16930"/>
    <w:rsid w:val="00C21841"/>
    <w:rsid w:val="00C45922"/>
    <w:rsid w:val="00C47405"/>
    <w:rsid w:val="00C474B9"/>
    <w:rsid w:val="00C519C7"/>
    <w:rsid w:val="00C5711A"/>
    <w:rsid w:val="00CA1680"/>
    <w:rsid w:val="00CA6ACE"/>
    <w:rsid w:val="00CA7738"/>
    <w:rsid w:val="00CB462D"/>
    <w:rsid w:val="00CD40E7"/>
    <w:rsid w:val="00CD6A6F"/>
    <w:rsid w:val="00CE02DD"/>
    <w:rsid w:val="00D01BB5"/>
    <w:rsid w:val="00D17AE5"/>
    <w:rsid w:val="00D2014D"/>
    <w:rsid w:val="00D253A8"/>
    <w:rsid w:val="00D27CE9"/>
    <w:rsid w:val="00D30FF2"/>
    <w:rsid w:val="00D35A94"/>
    <w:rsid w:val="00D524E6"/>
    <w:rsid w:val="00D55651"/>
    <w:rsid w:val="00D6047A"/>
    <w:rsid w:val="00D762F8"/>
    <w:rsid w:val="00D77941"/>
    <w:rsid w:val="00D9168F"/>
    <w:rsid w:val="00D944EF"/>
    <w:rsid w:val="00D96861"/>
    <w:rsid w:val="00D97627"/>
    <w:rsid w:val="00DA535F"/>
    <w:rsid w:val="00DB0881"/>
    <w:rsid w:val="00DB20AC"/>
    <w:rsid w:val="00DB297D"/>
    <w:rsid w:val="00DD31D7"/>
    <w:rsid w:val="00DE64F6"/>
    <w:rsid w:val="00DE6FC6"/>
    <w:rsid w:val="00DF74C5"/>
    <w:rsid w:val="00E03B32"/>
    <w:rsid w:val="00E05AD7"/>
    <w:rsid w:val="00E07B5B"/>
    <w:rsid w:val="00E23722"/>
    <w:rsid w:val="00E255E5"/>
    <w:rsid w:val="00E35035"/>
    <w:rsid w:val="00E35049"/>
    <w:rsid w:val="00E37FFE"/>
    <w:rsid w:val="00E53A15"/>
    <w:rsid w:val="00E73CF7"/>
    <w:rsid w:val="00E9078B"/>
    <w:rsid w:val="00EA1560"/>
    <w:rsid w:val="00EA5D7E"/>
    <w:rsid w:val="00EB1C30"/>
    <w:rsid w:val="00EB387E"/>
    <w:rsid w:val="00EC060C"/>
    <w:rsid w:val="00EE52E1"/>
    <w:rsid w:val="00EE5A62"/>
    <w:rsid w:val="00EF3018"/>
    <w:rsid w:val="00F10346"/>
    <w:rsid w:val="00F1729D"/>
    <w:rsid w:val="00F20396"/>
    <w:rsid w:val="00F4401C"/>
    <w:rsid w:val="00F4768C"/>
    <w:rsid w:val="00F5478D"/>
    <w:rsid w:val="00F60D2D"/>
    <w:rsid w:val="00F92550"/>
    <w:rsid w:val="00FA00CE"/>
    <w:rsid w:val="00FC0ECC"/>
    <w:rsid w:val="00FC1B86"/>
    <w:rsid w:val="00FE5476"/>
    <w:rsid w:val="00FF35EA"/>
    <w:rsid w:val="00FF3A67"/>
    <w:rsid w:val="00FF4606"/>
    <w:rsid w:val="00F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96F0F"/>
  <w15:chartTrackingRefBased/>
  <w15:docId w15:val="{C5339942-66A9-4A2B-A259-BA2B6ACB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8D"/>
    <w:pPr>
      <w:ind w:left="720"/>
      <w:contextualSpacing/>
    </w:pPr>
  </w:style>
  <w:style w:type="table" w:styleId="TableGrid">
    <w:name w:val="Table Grid"/>
    <w:basedOn w:val="TableNormal"/>
    <w:uiPriority w:val="39"/>
    <w:rsid w:val="005E4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36A"/>
  </w:style>
  <w:style w:type="paragraph" w:styleId="Footer">
    <w:name w:val="footer"/>
    <w:basedOn w:val="Normal"/>
    <w:link w:val="FooterChar"/>
    <w:uiPriority w:val="99"/>
    <w:unhideWhenUsed/>
    <w:rsid w:val="0050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6A"/>
  </w:style>
  <w:style w:type="paragraph" w:styleId="NormalWeb">
    <w:name w:val="Normal (Web)"/>
    <w:basedOn w:val="Normal"/>
    <w:uiPriority w:val="99"/>
    <w:unhideWhenUsed/>
    <w:rsid w:val="00AF7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75F5"/>
    <w:rPr>
      <w:color w:val="0000FF"/>
      <w:u w:val="single"/>
    </w:rPr>
  </w:style>
  <w:style w:type="character" w:styleId="FollowedHyperlink">
    <w:name w:val="FollowedHyperlink"/>
    <w:basedOn w:val="DefaultParagraphFont"/>
    <w:uiPriority w:val="99"/>
    <w:semiHidden/>
    <w:unhideWhenUsed/>
    <w:rsid w:val="00F4401C"/>
    <w:rPr>
      <w:color w:val="954F72" w:themeColor="followedHyperlink"/>
      <w:u w:val="single"/>
    </w:rPr>
  </w:style>
  <w:style w:type="character" w:styleId="PageNumber">
    <w:name w:val="page number"/>
    <w:basedOn w:val="DefaultParagraphFont"/>
    <w:uiPriority w:val="99"/>
    <w:semiHidden/>
    <w:unhideWhenUsed/>
    <w:rsid w:val="00806B91"/>
  </w:style>
  <w:style w:type="character" w:customStyle="1" w:styleId="UnresolvedMention1">
    <w:name w:val="Unresolved Mention1"/>
    <w:basedOn w:val="DefaultParagraphFont"/>
    <w:uiPriority w:val="99"/>
    <w:semiHidden/>
    <w:unhideWhenUsed/>
    <w:rsid w:val="00BE2465"/>
    <w:rPr>
      <w:color w:val="605E5C"/>
      <w:shd w:val="clear" w:color="auto" w:fill="E1DFDD"/>
    </w:rPr>
  </w:style>
  <w:style w:type="character" w:styleId="CommentReference">
    <w:name w:val="annotation reference"/>
    <w:basedOn w:val="DefaultParagraphFont"/>
    <w:uiPriority w:val="99"/>
    <w:semiHidden/>
    <w:unhideWhenUsed/>
    <w:rsid w:val="006925BF"/>
    <w:rPr>
      <w:sz w:val="16"/>
      <w:szCs w:val="16"/>
    </w:rPr>
  </w:style>
  <w:style w:type="paragraph" w:styleId="CommentText">
    <w:name w:val="annotation text"/>
    <w:basedOn w:val="Normal"/>
    <w:link w:val="CommentTextChar"/>
    <w:uiPriority w:val="99"/>
    <w:semiHidden/>
    <w:unhideWhenUsed/>
    <w:rsid w:val="006925BF"/>
    <w:pPr>
      <w:spacing w:line="240" w:lineRule="auto"/>
    </w:pPr>
    <w:rPr>
      <w:sz w:val="20"/>
      <w:szCs w:val="20"/>
    </w:rPr>
  </w:style>
  <w:style w:type="character" w:customStyle="1" w:styleId="CommentTextChar">
    <w:name w:val="Comment Text Char"/>
    <w:basedOn w:val="DefaultParagraphFont"/>
    <w:link w:val="CommentText"/>
    <w:uiPriority w:val="99"/>
    <w:semiHidden/>
    <w:rsid w:val="006925BF"/>
    <w:rPr>
      <w:sz w:val="20"/>
      <w:szCs w:val="20"/>
    </w:rPr>
  </w:style>
  <w:style w:type="paragraph" w:styleId="CommentSubject">
    <w:name w:val="annotation subject"/>
    <w:basedOn w:val="CommentText"/>
    <w:next w:val="CommentText"/>
    <w:link w:val="CommentSubjectChar"/>
    <w:uiPriority w:val="99"/>
    <w:semiHidden/>
    <w:unhideWhenUsed/>
    <w:rsid w:val="006925BF"/>
    <w:rPr>
      <w:b/>
      <w:bCs/>
    </w:rPr>
  </w:style>
  <w:style w:type="character" w:customStyle="1" w:styleId="CommentSubjectChar">
    <w:name w:val="Comment Subject Char"/>
    <w:basedOn w:val="CommentTextChar"/>
    <w:link w:val="CommentSubject"/>
    <w:uiPriority w:val="99"/>
    <w:semiHidden/>
    <w:rsid w:val="006925BF"/>
    <w:rPr>
      <w:b/>
      <w:bCs/>
      <w:sz w:val="20"/>
      <w:szCs w:val="20"/>
    </w:rPr>
  </w:style>
  <w:style w:type="paragraph" w:styleId="BalloonText">
    <w:name w:val="Balloon Text"/>
    <w:basedOn w:val="Normal"/>
    <w:link w:val="BalloonTextChar"/>
    <w:uiPriority w:val="99"/>
    <w:semiHidden/>
    <w:unhideWhenUsed/>
    <w:rsid w:val="0069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BF"/>
    <w:rPr>
      <w:rFonts w:ascii="Segoe UI" w:hAnsi="Segoe UI" w:cs="Segoe UI"/>
      <w:sz w:val="18"/>
      <w:szCs w:val="18"/>
    </w:rPr>
  </w:style>
  <w:style w:type="character" w:styleId="UnresolvedMention">
    <w:name w:val="Unresolved Mention"/>
    <w:basedOn w:val="DefaultParagraphFont"/>
    <w:uiPriority w:val="99"/>
    <w:semiHidden/>
    <w:unhideWhenUsed/>
    <w:rsid w:val="004F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435">
      <w:bodyDiv w:val="1"/>
      <w:marLeft w:val="0"/>
      <w:marRight w:val="0"/>
      <w:marTop w:val="0"/>
      <w:marBottom w:val="0"/>
      <w:divBdr>
        <w:top w:val="none" w:sz="0" w:space="0" w:color="auto"/>
        <w:left w:val="none" w:sz="0" w:space="0" w:color="auto"/>
        <w:bottom w:val="none" w:sz="0" w:space="0" w:color="auto"/>
        <w:right w:val="none" w:sz="0" w:space="0" w:color="auto"/>
      </w:divBdr>
    </w:div>
    <w:div w:id="81069920">
      <w:bodyDiv w:val="1"/>
      <w:marLeft w:val="0"/>
      <w:marRight w:val="0"/>
      <w:marTop w:val="0"/>
      <w:marBottom w:val="0"/>
      <w:divBdr>
        <w:top w:val="none" w:sz="0" w:space="0" w:color="auto"/>
        <w:left w:val="none" w:sz="0" w:space="0" w:color="auto"/>
        <w:bottom w:val="none" w:sz="0" w:space="0" w:color="auto"/>
        <w:right w:val="none" w:sz="0" w:space="0" w:color="auto"/>
      </w:divBdr>
    </w:div>
    <w:div w:id="133303307">
      <w:bodyDiv w:val="1"/>
      <w:marLeft w:val="0"/>
      <w:marRight w:val="0"/>
      <w:marTop w:val="0"/>
      <w:marBottom w:val="0"/>
      <w:divBdr>
        <w:top w:val="none" w:sz="0" w:space="0" w:color="auto"/>
        <w:left w:val="none" w:sz="0" w:space="0" w:color="auto"/>
        <w:bottom w:val="none" w:sz="0" w:space="0" w:color="auto"/>
        <w:right w:val="none" w:sz="0" w:space="0" w:color="auto"/>
      </w:divBdr>
    </w:div>
    <w:div w:id="341208569">
      <w:bodyDiv w:val="1"/>
      <w:marLeft w:val="0"/>
      <w:marRight w:val="0"/>
      <w:marTop w:val="0"/>
      <w:marBottom w:val="0"/>
      <w:divBdr>
        <w:top w:val="none" w:sz="0" w:space="0" w:color="auto"/>
        <w:left w:val="none" w:sz="0" w:space="0" w:color="auto"/>
        <w:bottom w:val="none" w:sz="0" w:space="0" w:color="auto"/>
        <w:right w:val="none" w:sz="0" w:space="0" w:color="auto"/>
      </w:divBdr>
    </w:div>
    <w:div w:id="461921840">
      <w:bodyDiv w:val="1"/>
      <w:marLeft w:val="0"/>
      <w:marRight w:val="0"/>
      <w:marTop w:val="0"/>
      <w:marBottom w:val="0"/>
      <w:divBdr>
        <w:top w:val="none" w:sz="0" w:space="0" w:color="auto"/>
        <w:left w:val="none" w:sz="0" w:space="0" w:color="auto"/>
        <w:bottom w:val="none" w:sz="0" w:space="0" w:color="auto"/>
        <w:right w:val="none" w:sz="0" w:space="0" w:color="auto"/>
      </w:divBdr>
    </w:div>
    <w:div w:id="744113440">
      <w:bodyDiv w:val="1"/>
      <w:marLeft w:val="0"/>
      <w:marRight w:val="0"/>
      <w:marTop w:val="0"/>
      <w:marBottom w:val="0"/>
      <w:divBdr>
        <w:top w:val="none" w:sz="0" w:space="0" w:color="auto"/>
        <w:left w:val="none" w:sz="0" w:space="0" w:color="auto"/>
        <w:bottom w:val="none" w:sz="0" w:space="0" w:color="auto"/>
        <w:right w:val="none" w:sz="0" w:space="0" w:color="auto"/>
      </w:divBdr>
    </w:div>
    <w:div w:id="887227629">
      <w:bodyDiv w:val="1"/>
      <w:marLeft w:val="0"/>
      <w:marRight w:val="0"/>
      <w:marTop w:val="0"/>
      <w:marBottom w:val="0"/>
      <w:divBdr>
        <w:top w:val="none" w:sz="0" w:space="0" w:color="auto"/>
        <w:left w:val="none" w:sz="0" w:space="0" w:color="auto"/>
        <w:bottom w:val="none" w:sz="0" w:space="0" w:color="auto"/>
        <w:right w:val="none" w:sz="0" w:space="0" w:color="auto"/>
      </w:divBdr>
    </w:div>
    <w:div w:id="941450663">
      <w:bodyDiv w:val="1"/>
      <w:marLeft w:val="0"/>
      <w:marRight w:val="0"/>
      <w:marTop w:val="0"/>
      <w:marBottom w:val="0"/>
      <w:divBdr>
        <w:top w:val="none" w:sz="0" w:space="0" w:color="auto"/>
        <w:left w:val="none" w:sz="0" w:space="0" w:color="auto"/>
        <w:bottom w:val="none" w:sz="0" w:space="0" w:color="auto"/>
        <w:right w:val="none" w:sz="0" w:space="0" w:color="auto"/>
      </w:divBdr>
    </w:div>
    <w:div w:id="1629509460">
      <w:bodyDiv w:val="1"/>
      <w:marLeft w:val="0"/>
      <w:marRight w:val="0"/>
      <w:marTop w:val="0"/>
      <w:marBottom w:val="0"/>
      <w:divBdr>
        <w:top w:val="none" w:sz="0" w:space="0" w:color="auto"/>
        <w:left w:val="none" w:sz="0" w:space="0" w:color="auto"/>
        <w:bottom w:val="none" w:sz="0" w:space="0" w:color="auto"/>
        <w:right w:val="none" w:sz="0" w:space="0" w:color="auto"/>
      </w:divBdr>
    </w:div>
    <w:div w:id="1802382691">
      <w:bodyDiv w:val="1"/>
      <w:marLeft w:val="0"/>
      <w:marRight w:val="0"/>
      <w:marTop w:val="0"/>
      <w:marBottom w:val="0"/>
      <w:divBdr>
        <w:top w:val="none" w:sz="0" w:space="0" w:color="auto"/>
        <w:left w:val="none" w:sz="0" w:space="0" w:color="auto"/>
        <w:bottom w:val="none" w:sz="0" w:space="0" w:color="auto"/>
        <w:right w:val="none" w:sz="0" w:space="0" w:color="auto"/>
      </w:divBdr>
    </w:div>
    <w:div w:id="1831173601">
      <w:bodyDiv w:val="1"/>
      <w:marLeft w:val="0"/>
      <w:marRight w:val="0"/>
      <w:marTop w:val="0"/>
      <w:marBottom w:val="0"/>
      <w:divBdr>
        <w:top w:val="none" w:sz="0" w:space="0" w:color="auto"/>
        <w:left w:val="none" w:sz="0" w:space="0" w:color="auto"/>
        <w:bottom w:val="none" w:sz="0" w:space="0" w:color="auto"/>
        <w:right w:val="none" w:sz="0" w:space="0" w:color="auto"/>
      </w:divBdr>
    </w:div>
    <w:div w:id="18578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8" Type="http://schemas.openxmlformats.org/officeDocument/2006/relationships/hyperlink" Target="https://www.sendgateway.org.uk/resources/ask-listen-do-returning-school-after-period-absence"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eader" Target="header1.xml"/><Relationship Id="rId21" Type="http://schemas.openxmlformats.org/officeDocument/2006/relationships/hyperlink" Target="https://www.minded.org.uk/" TargetMode="External"/><Relationship Id="rId34" Type="http://schemas.openxmlformats.org/officeDocument/2006/relationships/hyperlink" Target="https://www.gov.uk/guidance/get-laptops-and-tablets-for-children-who-cannot-attend-school-due-to-coronavirus-covid-1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ded.org.uk/Component/Details/685525" TargetMode="External"/><Relationship Id="rId20" Type="http://schemas.openxmlformats.org/officeDocument/2006/relationships/hyperlink" Target="file:///C:\Users\JenniMachin\Downloads\wssrecovery_..._final_web_pages.pdf" TargetMode="External"/><Relationship Id="rId29"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24" Type="http://schemas.openxmlformats.org/officeDocument/2006/relationships/hyperlink" Target="https://www.gov.uk/government/publications/relationships-education-relationships-and-sex-education-rse-and-health-education/physical-health-and-mental-wellbeing-primary-and-secondary" TargetMode="External"/><Relationship Id="rId32" Type="http://schemas.openxmlformats.org/officeDocument/2006/relationships/hyperlink" Target="https://classroom.thenational.academy/specialist" TargetMode="External"/><Relationship Id="rId37" Type="http://schemas.openxmlformats.org/officeDocument/2006/relationships/hyperlink" Target="https://www.gov.uk/government/publications/transport-to-school-and-other-places-of-education-autumn-term-2020/transport-to-school-and-other-places-of-education-autumn-term-20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https://www.gov.uk/guidance/teaching-about-mental-wellbeing" TargetMode="External"/><Relationship Id="rId28" Type="http://schemas.openxmlformats.org/officeDocument/2006/relationships/hyperlink" Target="https://assets.publishing.service.gov.uk/government/uploads/system/uploads/attachment_data/file/803956/supporting-pupils-at-school-with-medical-conditions.pdf" TargetMode="External"/><Relationship Id="rId36" Type="http://schemas.openxmlformats.org/officeDocument/2006/relationships/hyperlink" Target="https://fsd.barnsley.gov.uk/kb5/barnsley/fisd/site.page?id=zlOoqh4YXyE" TargetMode="External"/><Relationship Id="rId10" Type="http://schemas.openxmlformats.org/officeDocument/2006/relationships/hyperlink" Target="mailto:Joanne.temperton@astreahighgate.org" TargetMode="External"/><Relationship Id="rId19" Type="http://schemas.openxmlformats.org/officeDocument/2006/relationships/hyperlink" Target="https://www.sendgateway.org.uk/resources/ask-listen-do-transition-planning-year-11" TargetMode="External"/><Relationship Id="rId31" Type="http://schemas.openxmlformats.org/officeDocument/2006/relationships/hyperlink" Target="https://www.gov.uk/guidance/asymptomatic-testing-in-schools-and-colleges" TargetMode="External"/><Relationship Id="rId4" Type="http://schemas.openxmlformats.org/officeDocument/2006/relationships/settings" Target="settings.xml"/><Relationship Id="rId9" Type="http://schemas.openxmlformats.org/officeDocument/2006/relationships/hyperlink" Target="mailto:Sarah.sankey@astreahighgate.org" TargetMode="External"/><Relationship Id="rId14" Type="http://schemas.openxmlformats.org/officeDocument/2006/relationships/hyperlink" Target="https://astreaacademytrust.org/home-learning/" TargetMode="External"/><Relationship Id="rId22" Type="http://schemas.openxmlformats.org/officeDocument/2006/relationships/hyperlink" Target="https://covid.minded.org.uk/"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assets.publishing.service.gov.uk/government/uploads/system/uploads/attachment_data/file/963541/Schools_coronavirus_operational_guidance.pdf" TargetMode="External"/><Relationship Id="rId35" Type="http://schemas.openxmlformats.org/officeDocument/2006/relationships/hyperlink" Target="https://fsd.barnsley.gov.uk/kb5/barnsley/fisd/localoffer.page?localofferchannel=1783" TargetMode="External"/><Relationship Id="rId43" Type="http://schemas.openxmlformats.org/officeDocument/2006/relationships/theme" Target="theme/theme1.xml"/><Relationship Id="rId8" Type="http://schemas.openxmlformats.org/officeDocument/2006/relationships/hyperlink" Target="https://www.gov.uk/government/collections/guidance-for-schools-coronavirus-covid-19" TargetMode="External"/><Relationship Id="rId3" Type="http://schemas.openxmlformats.org/officeDocument/2006/relationships/styles" Target="styles.xml"/><Relationship Id="rId12" Type="http://schemas.openxmlformats.org/officeDocument/2006/relationships/hyperlink" Target="https://www.gov.uk/government/publications/healthy-child-programme-0-to-19-health-visitor-and-school-nurse-commissioning" TargetMode="External"/><Relationship Id="rId17" Type="http://schemas.openxmlformats.org/officeDocument/2006/relationships/hyperlink" Target="https://www.youtube.com/watch?v=MYmBLnSQh3M&amp;feature=youtu.be" TargetMode="External"/><Relationship Id="rId25" Type="http://schemas.openxmlformats.org/officeDocument/2006/relationships/hyperlink" Target="mailto:safeguarding@astreahighgateacademy.org" TargetMode="External"/><Relationship Id="rId33" Type="http://schemas.openxmlformats.org/officeDocument/2006/relationships/hyperlink" Target="https://get-help-with-remote-education.education.gov.uk/" TargetMode="External"/><Relationship Id="rId38"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5729-0DA3-441D-BA04-69DB3637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 (Astrea Central)</dc:creator>
  <cp:keywords/>
  <dc:description/>
  <cp:lastModifiedBy>Sarah Sankey (Highgate Academy)</cp:lastModifiedBy>
  <cp:revision>2</cp:revision>
  <dcterms:created xsi:type="dcterms:W3CDTF">2021-03-26T11:07:00Z</dcterms:created>
  <dcterms:modified xsi:type="dcterms:W3CDTF">2021-03-26T11:07:00Z</dcterms:modified>
</cp:coreProperties>
</file>